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054B2A" w:rsidRDefault="00797E78" w:rsidP="00054B2A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54B2A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iudad de México, siendo las </w:t>
      </w:r>
      <w:r w:rsidR="003E3E7C" w:rsidRPr="00054B2A">
        <w:rPr>
          <w:rFonts w:ascii="Geomanist" w:hAnsi="Geomanist" w:cs="Arial"/>
          <w:kern w:val="0"/>
          <w:sz w:val="20"/>
          <w:lang w:val="es-ES_tradnl" w:eastAsia="es-ES"/>
        </w:rPr>
        <w:t>once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horas del día </w:t>
      </w:r>
      <w:r w:rsidR="003E3E7C" w:rsidRPr="00054B2A">
        <w:rPr>
          <w:rFonts w:ascii="Geomanist" w:hAnsi="Geomanist" w:cs="Arial"/>
          <w:kern w:val="0"/>
          <w:sz w:val="20"/>
          <w:lang w:val="es-ES_tradnl" w:eastAsia="es-ES"/>
        </w:rPr>
        <w:t>uno</w:t>
      </w:r>
      <w:r w:rsidR="00C21E55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de </w:t>
      </w:r>
      <w:r w:rsidR="0000079C" w:rsidRPr="00054B2A">
        <w:rPr>
          <w:rFonts w:ascii="Geomanist" w:hAnsi="Geomanist" w:cs="Arial"/>
          <w:kern w:val="0"/>
          <w:sz w:val="20"/>
          <w:lang w:val="es-ES_tradnl" w:eastAsia="es-ES"/>
        </w:rPr>
        <w:t>ju</w:t>
      </w:r>
      <w:r w:rsidR="003E3E7C" w:rsidRPr="00054B2A">
        <w:rPr>
          <w:rFonts w:ascii="Geomanist" w:hAnsi="Geomanist" w:cs="Arial"/>
          <w:kern w:val="0"/>
          <w:sz w:val="20"/>
          <w:lang w:val="es-ES_tradnl" w:eastAsia="es-ES"/>
        </w:rPr>
        <w:t>l</w:t>
      </w:r>
      <w:r w:rsidR="0000079C" w:rsidRPr="00054B2A">
        <w:rPr>
          <w:rFonts w:ascii="Geomanist" w:hAnsi="Geomanist" w:cs="Arial"/>
          <w:kern w:val="0"/>
          <w:sz w:val="20"/>
          <w:lang w:val="es-ES_tradnl" w:eastAsia="es-ES"/>
        </w:rPr>
        <w:t>io</w:t>
      </w:r>
      <w:r w:rsidR="00CA7D42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de dos mil veinticinco, se reunieron los integrantes del Comité de Transparencia del Hospital Infantil de México Federico Gómez en sesión </w:t>
      </w:r>
      <w:r w:rsidR="00BA1B6F" w:rsidRPr="00054B2A">
        <w:rPr>
          <w:rFonts w:ascii="Geomanist" w:hAnsi="Geomanist" w:cs="Arial"/>
          <w:kern w:val="0"/>
          <w:sz w:val="20"/>
          <w:lang w:val="es-ES_tradnl" w:eastAsia="es-ES"/>
        </w:rPr>
        <w:t>presencial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, para realizar la </w:t>
      </w:r>
      <w:r w:rsidR="005E6297" w:rsidRPr="00054B2A">
        <w:rPr>
          <w:rFonts w:ascii="Geomanist" w:hAnsi="Geomanist" w:cs="Arial"/>
          <w:kern w:val="0"/>
          <w:sz w:val="20"/>
          <w:lang w:val="es-ES_tradnl" w:eastAsia="es-ES"/>
        </w:rPr>
        <w:t>vigésima</w:t>
      </w:r>
      <w:r w:rsidR="00082F9E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--------------------------------------------------------------------------------------------------------------------</w:t>
      </w:r>
      <w:r w:rsidR="00706530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</w:t>
      </w:r>
    </w:p>
    <w:p w:rsidR="00797E78" w:rsidRPr="00054B2A" w:rsidRDefault="00797E78" w:rsidP="00054B2A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54B2A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</w:t>
      </w:r>
    </w:p>
    <w:p w:rsidR="00344EA9" w:rsidRPr="00054B2A" w:rsidRDefault="00797E78" w:rsidP="00054B2A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MIRIAM GUADALUPE HERRERA SEGURA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, Directora de Planeación y Titular de la Unidad de Transparencia del Hospital Infantil de México Federico Gómez quien presidió la reunión; </w:t>
      </w:r>
      <w:r w:rsidR="00AC7588"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DIANA PAOLA CERÓN RUIZ</w:t>
      </w:r>
      <w:r w:rsidR="004D28E5" w:rsidRPr="00054B2A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, </w:t>
      </w:r>
      <w:r w:rsidR="00AC7588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Jefa </w:t>
      </w:r>
      <w:r w:rsidR="004D28E5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de la </w:t>
      </w:r>
      <w:r w:rsidR="00027167" w:rsidRPr="00054B2A">
        <w:rPr>
          <w:rFonts w:ascii="Geomanist" w:hAnsi="Geomanist" w:cs="Arial"/>
          <w:kern w:val="0"/>
          <w:sz w:val="20"/>
          <w:lang w:val="es-ES_tradnl" w:eastAsia="es-ES"/>
        </w:rPr>
        <w:t>O</w:t>
      </w:r>
      <w:r w:rsidR="004D28E5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ficina de </w:t>
      </w:r>
      <w:r w:rsidR="00FC63A4" w:rsidRPr="00054B2A">
        <w:rPr>
          <w:rFonts w:ascii="Geomanist" w:hAnsi="Geomanist" w:cs="Arial"/>
          <w:kern w:val="0"/>
          <w:sz w:val="20"/>
          <w:lang w:val="es-ES_tradnl" w:eastAsia="es-ES"/>
        </w:rPr>
        <w:t>Representación</w:t>
      </w:r>
      <w:r w:rsidR="004D28E5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en el HIMFG</w:t>
      </w:r>
      <w:r w:rsidR="0001116A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, en </w:t>
      </w:r>
      <w:r w:rsidR="00AC7588" w:rsidRPr="00054B2A">
        <w:rPr>
          <w:rFonts w:ascii="Geomanist" w:hAnsi="Geomanist" w:cs="Arial"/>
          <w:kern w:val="0"/>
          <w:sz w:val="20"/>
          <w:lang w:val="es-ES_tradnl" w:eastAsia="es-ES"/>
        </w:rPr>
        <w:t>calidad de suplente</w:t>
      </w:r>
      <w:r w:rsidR="0001116A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de LINDA PILAR BLANCAS GARCÉS, Titula</w:t>
      </w:r>
      <w:r w:rsidR="00C47D7E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C31280" w:rsidRPr="00054B2A">
        <w:rPr>
          <w:rFonts w:ascii="Geomanist" w:hAnsi="Geomanist" w:cs="Arial"/>
          <w:kern w:val="0"/>
          <w:sz w:val="20"/>
          <w:lang w:val="es-ES_tradnl" w:eastAsia="es-ES"/>
        </w:rPr>
        <w:t>e</w:t>
      </w:r>
      <w:r w:rsidR="0001116A" w:rsidRPr="00054B2A">
        <w:rPr>
          <w:rFonts w:ascii="Geomanist" w:hAnsi="Geomanist" w:cs="Arial"/>
          <w:kern w:val="0"/>
          <w:sz w:val="20"/>
          <w:lang w:val="es-ES_tradnl" w:eastAsia="es-ES"/>
        </w:rPr>
        <w:t>n la Secretaria de Salud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="00C31280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</w:t>
      </w:r>
      <w:proofErr w:type="spellStart"/>
      <w:r w:rsidRPr="00054B2A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y C</w:t>
      </w:r>
      <w:r w:rsidR="00C31280" w:rsidRPr="00054B2A">
        <w:rPr>
          <w:rFonts w:ascii="Geomanist" w:hAnsi="Geomanist" w:cs="Arial"/>
          <w:kern w:val="0"/>
          <w:sz w:val="20"/>
          <w:lang w:val="es-ES_tradnl" w:eastAsia="es-ES"/>
        </w:rPr>
        <w:t>oordinador General de  Archivos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Infantil de México Federico Gómez.; </w:t>
      </w:r>
      <w:r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>, Subdirectora de Seguimiento Programático y Diseño Organizacional y Secretaria Técnica del Comité de Transparencia del Hospital Infantil de México Federico Gómez; y como invitados</w:t>
      </w:r>
      <w:r w:rsidRPr="00054B2A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, </w:t>
      </w:r>
      <w:r w:rsidR="00344EA9"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ALBERT GÓMEZ HERNÁNDEZ,</w:t>
      </w:r>
      <w:r w:rsidR="00344EA9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Jefe del Departamento de Gestión del Hospital Infantil de México Federico Gómez en representación de </w:t>
      </w:r>
      <w:r w:rsidR="007C75FC" w:rsidRPr="00054B2A">
        <w:rPr>
          <w:rFonts w:ascii="Geomanist" w:hAnsi="Geomanist" w:cs="Arial"/>
          <w:kern w:val="0"/>
          <w:sz w:val="20"/>
          <w:lang w:val="es-ES_tradnl" w:eastAsia="es-ES"/>
        </w:rPr>
        <w:t>ADRIAN CHÁVEZ LÓPEZ, Director General del</w:t>
      </w:r>
      <w:r w:rsidR="00A5012A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Hospital Infantil de México Federico Gómez;</w:t>
      </w:r>
      <w:r w:rsidR="007C75FC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A5012A"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CIPRIANO SOLIS BADILLO</w:t>
      </w:r>
      <w:r w:rsidR="00A5012A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, Director de Administración del Hospital Infantil de México Federico Gómez; </w:t>
      </w:r>
      <w:r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RAMÓN LÓPEZ HERNÁNDEZ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</w:t>
      </w:r>
      <w:r w:rsidR="003E76EC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; y, </w:t>
      </w:r>
      <w:r w:rsidR="003E76EC" w:rsidRPr="00054B2A">
        <w:rPr>
          <w:rFonts w:ascii="Geomanist" w:hAnsi="Geomanist" w:cs="Arial"/>
          <w:b/>
          <w:kern w:val="0"/>
          <w:sz w:val="20"/>
          <w:lang w:val="es-ES_tradnl" w:eastAsia="es-ES"/>
        </w:rPr>
        <w:t>MAYELY MONTSERRAT IBÁÑEZ VARGAS</w:t>
      </w:r>
      <w:r w:rsidR="003E76EC"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, Encargada </w:t>
      </w:r>
      <w:r w:rsidR="00660D17" w:rsidRPr="00054B2A">
        <w:rPr>
          <w:rFonts w:ascii="Geomanist" w:hAnsi="Geomanist" w:cs="Arial"/>
          <w:kern w:val="0"/>
          <w:sz w:val="20"/>
          <w:lang w:val="es-ES_tradnl" w:eastAsia="es-ES"/>
        </w:rPr>
        <w:t>del Despacho de la Subdirección de Recursos Humanos del Hospital Infantil de México Federico Gómez</w:t>
      </w:r>
      <w:r w:rsidR="00C21E55" w:rsidRPr="00054B2A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="002D3439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</w:t>
      </w:r>
      <w:r w:rsidR="005B16AF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</w:t>
      </w:r>
      <w:r w:rsidR="00E61AE4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</w:t>
      </w:r>
      <w:r w:rsidR="00AC7588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</w:t>
      </w:r>
      <w:r w:rsidR="00943BC0" w:rsidRPr="00054B2A">
        <w:rPr>
          <w:rFonts w:ascii="Geomanist" w:hAnsi="Geomanist" w:cs="Arial"/>
          <w:kern w:val="0"/>
          <w:sz w:val="20"/>
          <w:lang w:val="es-ES_tradnl" w:eastAsia="es-ES"/>
        </w:rPr>
        <w:t>-------</w:t>
      </w:r>
      <w:r w:rsidR="00660D17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</w:t>
      </w:r>
      <w:r w:rsidR="00943BC0" w:rsidRPr="00054B2A">
        <w:rPr>
          <w:rFonts w:ascii="Geomanist" w:hAnsi="Geomanist" w:cs="Arial"/>
          <w:kern w:val="0"/>
          <w:sz w:val="20"/>
          <w:lang w:val="es-ES_tradnl" w:eastAsia="es-ES"/>
        </w:rPr>
        <w:t>--------------------------</w:t>
      </w:r>
    </w:p>
    <w:p w:rsidR="00797E78" w:rsidRPr="00054B2A" w:rsidRDefault="00344EA9" w:rsidP="00054B2A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54B2A">
        <w:rPr>
          <w:rFonts w:ascii="Geomanist" w:hAnsi="Geomanist" w:cs="Arial"/>
          <w:kern w:val="0"/>
          <w:sz w:val="20"/>
          <w:lang w:val="es-ES_tradnl" w:eastAsia="es-ES"/>
        </w:rPr>
        <w:t xml:space="preserve">Miriam Guadalupe Herrera Segura, Directora de Planeación y Titular de la Unidad de Transparencia </w:t>
      </w:r>
      <w:r w:rsidR="00797E78" w:rsidRPr="00054B2A">
        <w:rPr>
          <w:rFonts w:ascii="Geomanist" w:hAnsi="Geomanist" w:cs="Arial"/>
          <w:kern w:val="0"/>
          <w:sz w:val="20"/>
          <w:lang w:val="es-ES_tradnl" w:eastAsia="es-ES"/>
        </w:rPr>
        <w:t>verificó la asistencia del quórum requerido para sesionar. ---------------------------------------------------------------------------------------------------------------------------------------------------------------------------------</w:t>
      </w:r>
      <w:r w:rsidRPr="00054B2A">
        <w:rPr>
          <w:rFonts w:ascii="Geomanist" w:hAnsi="Geomanist" w:cs="Arial"/>
          <w:kern w:val="0"/>
          <w:sz w:val="20"/>
          <w:lang w:val="es-ES_tradnl" w:eastAsia="es-ES"/>
        </w:rPr>
        <w:t>---------</w:t>
      </w:r>
    </w:p>
    <w:p w:rsidR="00797E78" w:rsidRPr="00054B2A" w:rsidRDefault="00797E78" w:rsidP="00054B2A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054B2A" w:rsidRDefault="00797E78" w:rsidP="00054B2A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Pr="00054B2A" w:rsidRDefault="00797E78" w:rsidP="00054B2A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943BC0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Aprobación de la R</w:t>
      </w:r>
      <w:r w:rsidR="00C21E55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esolución 1</w:t>
      </w:r>
      <w:r w:rsidR="00660D17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8</w:t>
      </w:r>
      <w:r w:rsidR="00CC027D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/25 que </w:t>
      </w:r>
      <w:r w:rsidR="00943BC0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revoca la reserva de información </w:t>
      </w:r>
      <w:r w:rsidR="00153AB4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para la atención del punto 1 </w:t>
      </w:r>
      <w:r w:rsidR="001C01EE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requerida</w:t>
      </w:r>
      <w:r w:rsidR="00943BC0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</w:t>
      </w:r>
      <w:r w:rsidR="00153AB4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en</w:t>
      </w:r>
      <w:r w:rsidR="00943BC0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la </w:t>
      </w:r>
      <w:r w:rsidR="00CC027D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solicitud </w:t>
      </w:r>
      <w:r w:rsidR="00FB41C3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de acceso </w:t>
      </w:r>
      <w:r w:rsidR="00C21E55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 la información 3300154250001</w:t>
      </w:r>
      <w:r w:rsidR="000749C8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60</w:t>
      </w:r>
      <w:r w:rsidR="00FB41C3" w:rsidRPr="00054B2A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</w:p>
    <w:p w:rsidR="00797E78" w:rsidRPr="00054B2A" w:rsidRDefault="00797E78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D92821" w:rsidRPr="00054B2A" w:rsidRDefault="00797E78" w:rsidP="00054B2A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Se aprobó la orden día sin comentarios. ---------------------------------------------------------------------------------------------------------------------------</w:t>
      </w:r>
      <w:r w:rsidR="0070653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</w:t>
      </w:r>
      <w:r w:rsidR="00344EA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</w:t>
      </w:r>
      <w:r w:rsidR="0070653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</w:t>
      </w:r>
      <w:r w:rsidR="000B1DC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</w:t>
      </w:r>
    </w:p>
    <w:p w:rsidR="00566714" w:rsidRPr="00054B2A" w:rsidRDefault="00C33214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punto </w:t>
      </w:r>
      <w:r w:rsidR="000749C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tres</w:t>
      </w:r>
      <w:r w:rsidR="009E1E1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María del Carmen Medina García, Subdirectora de Seguimiento Programático y Diseño Organizacional y Secretaria Técnica del Comité de Transparencia, informó que </w:t>
      </w:r>
      <w:r w:rsidR="00C21E55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</w:t>
      </w:r>
      <w:r w:rsidR="00E9209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2</w:t>
      </w:r>
      <w:r w:rsidR="000749C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6</w:t>
      </w:r>
      <w:r w:rsidR="00707983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</w:t>
      </w:r>
      <w:r w:rsidR="000B1DC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mayo</w:t>
      </w:r>
      <w:r w:rsidR="009E1E1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del año en curso fue recib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ida la solicitud </w:t>
      </w:r>
      <w:r w:rsidR="0078307C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de acceso a información pública </w:t>
      </w:r>
      <w:r w:rsidR="00707983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3300154250001</w:t>
      </w:r>
      <w:r w:rsidR="000749C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60</w:t>
      </w:r>
      <w:r w:rsidR="009E1E1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33087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</w:t>
      </w:r>
      <w:r w:rsidR="00344EA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la</w:t>
      </w:r>
      <w:r w:rsidR="0033087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se </w:t>
      </w:r>
      <w:r w:rsidR="009E1E1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solicit</w:t>
      </w:r>
      <w:r w:rsidR="0033087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ó</w:t>
      </w:r>
      <w:r w:rsidR="009E1E1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5E010B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dos documentos: </w:t>
      </w:r>
      <w:r w:rsidR="00D03B6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Acta administrativa y </w:t>
      </w:r>
      <w:r w:rsidR="005E010B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la </w:t>
      </w:r>
      <w:proofErr w:type="spellStart"/>
      <w:r w:rsidR="00D03B6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Dictaminaci</w:t>
      </w:r>
      <w:r w:rsidR="005E010B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ón</w:t>
      </w:r>
      <w:proofErr w:type="spellEnd"/>
      <w:r w:rsidR="005E010B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dicha</w:t>
      </w:r>
      <w:r w:rsidR="00D03B6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acta</w:t>
      </w:r>
      <w:r w:rsidR="005E010B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</w:t>
      </w:r>
      <w:r w:rsidR="0016662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otros datos para su localización, señaló a la Dirección General, Subdirección de Recursos Humanos y Departamento de </w:t>
      </w:r>
      <w:r w:rsidR="0016662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Asuntos Jurídicos</w:t>
      </w:r>
      <w:r w:rsidR="002377D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135BF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---------------------------------------------------------------------------------------------------------------------------------</w:t>
      </w:r>
      <w:r w:rsidR="0016662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</w:t>
      </w:r>
      <w:r w:rsidR="00135BF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</w:t>
      </w:r>
    </w:p>
    <w:p w:rsidR="00135BF7" w:rsidRPr="00054B2A" w:rsidRDefault="001859F2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De la búsqueda realizad</w:t>
      </w:r>
      <w:r w:rsidR="00A676E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 por las áreas competentes, </w:t>
      </w:r>
      <w:r w:rsidR="00D4056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Adrián Chávez López, Director General, a través de Albert Gómez Hernández, Jefe del Departamento de Gestión,</w:t>
      </w:r>
      <w:r w:rsidR="00727CF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</w:t>
      </w:r>
      <w:r w:rsidR="00D4056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27CF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Mayely Monserrat Ibáñez Vargas, Encargada del Despacho de la Subdirección de Recursos Humanos, </w:t>
      </w:r>
      <w:r w:rsidR="00D4056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señal</w:t>
      </w:r>
      <w:r w:rsidR="00727CF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aron</w:t>
      </w:r>
      <w:r w:rsidR="00D4056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E6A6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después de realizar la búsqueda en los archivos </w:t>
      </w:r>
      <w:r w:rsidR="00727CF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 su cargo</w:t>
      </w:r>
      <w:r w:rsidR="002E6A6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="00395BC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no localiz</w:t>
      </w:r>
      <w:r w:rsidR="00727CF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aron</w:t>
      </w:r>
      <w:r w:rsidR="00395BC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documentación</w:t>
      </w:r>
      <w:r w:rsidR="00D4056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508F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</w:t>
      </w:r>
      <w:proofErr w:type="spellStart"/>
      <w:r w:rsidR="002508F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de</w:t>
      </w:r>
      <w:proofErr w:type="spellEnd"/>
      <w:r w:rsidR="002508F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E6A6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respuesta</w:t>
      </w:r>
      <w:r w:rsidR="002508F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 l</w:t>
      </w:r>
      <w:r w:rsidR="002E6A6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o</w:t>
      </w:r>
      <w:r w:rsidR="002508F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E6A64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requerido, </w:t>
      </w:r>
      <w:r w:rsidR="00620D8A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Ramón López Hernández, Jefe del Departamento de Asuntos Jurídicos, </w:t>
      </w:r>
      <w:r w:rsidR="0078307C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notificó </w:t>
      </w:r>
      <w:r w:rsidR="00CB66F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que</w:t>
      </w:r>
      <w:r w:rsidR="00AA62E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</w:t>
      </w:r>
      <w:r w:rsidR="0061029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 </w:t>
      </w:r>
      <w:r w:rsidR="00AA62E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documento</w:t>
      </w:r>
      <w:r w:rsidR="0061029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solicitado en el punto 1</w:t>
      </w:r>
      <w:r w:rsidR="00AA62E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CB1855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procede</w:t>
      </w:r>
      <w:r w:rsidR="00CB66F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clasificar</w:t>
      </w:r>
      <w:r w:rsidR="00135BF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lo</w:t>
      </w:r>
      <w:r w:rsidR="001C01E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como confidencial</w:t>
      </w:r>
      <w:r w:rsidR="00CB66F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por contener datos personales y reservarse por </w:t>
      </w:r>
      <w:r w:rsidR="008E4E8D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se encuentran </w:t>
      </w:r>
      <w:r w:rsidR="00C2106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dentro de procesos legales ante tres autoridades distintas</w:t>
      </w:r>
      <w:r w:rsidR="0052604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para el punto 2 señaló que no localizó información relacionada con la petición y no se tiene obligación legal para tenerlo</w:t>
      </w:r>
      <w:r w:rsidR="00C2106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CB1855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La solicitud fue reconducida</w:t>
      </w:r>
      <w:r w:rsidR="0052604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por la Unidad de Transparencia</w:t>
      </w:r>
      <w:r w:rsidR="00CB1855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 solicitud de </w:t>
      </w:r>
      <w:r w:rsidR="0052604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acceso a </w:t>
      </w:r>
      <w:r w:rsidR="00CB1855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datos personales</w:t>
      </w:r>
      <w:r w:rsidR="002F0E1B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135BF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se </w:t>
      </w:r>
      <w:r w:rsidR="0052604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requirió</w:t>
      </w:r>
      <w:r w:rsidR="00135BF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52604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</w:t>
      </w:r>
      <w:r w:rsidR="00135BF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l solicitante se acreditara como lo establece la Ley General de Protección de Datos Personales en Posesión de Sujetos Obligados. -------------------------------------------------------------------------------------------------------------------------------------------------------</w:t>
      </w:r>
      <w:r w:rsidR="00AA62E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</w:t>
      </w:r>
    </w:p>
    <w:p w:rsidR="00E30B68" w:rsidRPr="00054B2A" w:rsidRDefault="00135BF7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Asimismo, se mencionó que la Unidad de Transparencia no tuvo a la vista los documentos que se pretende clasificar, por lo que solicitó al área responsable que</w:t>
      </w:r>
      <w:r w:rsidR="001C01E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los presente,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conformidad con el artículo 139 de la Ley General de Transparencia y Acceso a la 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Información Pública:</w:t>
      </w:r>
    </w:p>
    <w:p w:rsidR="001859F2" w:rsidRPr="00054B2A" w:rsidRDefault="00E30B68" w:rsidP="00054B2A">
      <w:pPr>
        <w:spacing w:line="276" w:lineRule="auto"/>
        <w:ind w:left="851" w:right="1467"/>
        <w:jc w:val="both"/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“</w:t>
      </w:r>
      <w:r w:rsidR="00804B5B"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[</w:t>
      </w:r>
      <w:r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…</w:t>
      </w:r>
      <w:r w:rsidR="00804B5B"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]</w:t>
      </w:r>
    </w:p>
    <w:p w:rsidR="00E30B68" w:rsidRPr="00054B2A" w:rsidRDefault="00E30B68" w:rsidP="00054B2A">
      <w:pPr>
        <w:spacing w:line="276" w:lineRule="auto"/>
        <w:ind w:left="851" w:right="1467"/>
        <w:jc w:val="both"/>
        <w:rPr>
          <w:rFonts w:ascii="Geomanist" w:eastAsia="Times New Roman" w:hAnsi="Geomanist" w:cs="Arial"/>
          <w:i/>
          <w:sz w:val="18"/>
          <w:szCs w:val="20"/>
          <w:lang w:val="es-MX" w:eastAsia="es-ES"/>
        </w:rPr>
      </w:pPr>
      <w:r w:rsidRPr="00054B2A">
        <w:rPr>
          <w:rFonts w:ascii="Geomanist" w:eastAsia="Times New Roman" w:hAnsi="Geomanist" w:cs="Arial"/>
          <w:i/>
          <w:sz w:val="18"/>
          <w:szCs w:val="20"/>
          <w:lang w:eastAsia="es-ES"/>
        </w:rPr>
        <w:t>El Comité de Transparencia podrá tener acceso a la información que esté en poder del área correspondiente, de la cual se haya solicitado su clasificación.</w:t>
      </w:r>
    </w:p>
    <w:p w:rsidR="00E30B68" w:rsidRPr="00054B2A" w:rsidRDefault="00804B5B" w:rsidP="00054B2A">
      <w:pPr>
        <w:spacing w:line="276" w:lineRule="auto"/>
        <w:ind w:left="851" w:right="1467"/>
        <w:jc w:val="both"/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[</w:t>
      </w:r>
      <w:r w:rsidR="00E30B68"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…</w:t>
      </w:r>
      <w:r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]</w:t>
      </w:r>
      <w:r w:rsidR="00E30B68"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” (</w:t>
      </w:r>
      <w:r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s</w:t>
      </w:r>
      <w:r w:rsidR="00E30B68" w:rsidRPr="00054B2A">
        <w:rPr>
          <w:rFonts w:ascii="Geomanist" w:eastAsia="Times New Roman" w:hAnsi="Geomanist" w:cs="Arial"/>
          <w:i/>
          <w:sz w:val="18"/>
          <w:szCs w:val="20"/>
          <w:lang w:val="es-ES_tradnl" w:eastAsia="es-ES"/>
        </w:rPr>
        <w:t>ic)</w:t>
      </w:r>
    </w:p>
    <w:p w:rsidR="001859F2" w:rsidRPr="00054B2A" w:rsidRDefault="00E30B68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F95D30" w:rsidRPr="00054B2A" w:rsidRDefault="00A81990" w:rsidP="00054B2A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la 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presente 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sesión </w:t>
      </w:r>
      <w:r w:rsidR="0079060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del Comité de Transparencia, </w:t>
      </w:r>
      <w:r w:rsidR="002914D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Ramón López Hernández, Jefe del Departamento de Asuntos Jurídicos,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presentó los docu</w:t>
      </w:r>
      <w:r w:rsidR="0079060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mentos y</w:t>
      </w:r>
      <w:r w:rsidR="002914D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reiteró </w:t>
      </w:r>
      <w:r w:rsidR="00A837E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su respuesta para que la información </w:t>
      </w:r>
      <w:r w:rsidR="0076130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relacionada con el primer punto, </w:t>
      </w:r>
      <w:r w:rsidR="00A837E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sea clasific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ada como reservada por 5 años</w:t>
      </w:r>
      <w:r w:rsidR="0079060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, sin embargo, al tratarse de una solicitud de datos personales</w:t>
      </w:r>
      <w:r w:rsidR="00254B5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en el cual se comprobó que el solicitante acredit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ó</w:t>
      </w:r>
      <w:r w:rsidR="00254B5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su identidad, </w:t>
      </w:r>
      <w:r w:rsidR="000F740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no procede la clasificación, </w:t>
      </w:r>
      <w:r w:rsidR="00F72D3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por lo que se presenta ante </w:t>
      </w:r>
      <w:r w:rsidR="00254B56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Comité de Transparencia </w:t>
      </w:r>
      <w:r w:rsidR="00AF45C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la Resolución 1</w:t>
      </w:r>
      <w:r w:rsidR="000C20F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8</w:t>
      </w:r>
      <w:r w:rsidR="00AF45C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/25 que revoca la reserva de información para </w:t>
      </w:r>
      <w:r w:rsidR="000C20F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el punto 1 de la solicitud de datos personales 330015425000160</w:t>
      </w:r>
      <w:r w:rsidR="00AF45C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1C01E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1C01E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</w:t>
      </w:r>
      <w:r w:rsidR="00F95D30" w:rsidRPr="00054B2A">
        <w:rPr>
          <w:rFonts w:ascii="Geomanist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</w:t>
      </w:r>
      <w:r w:rsidR="00810FC2" w:rsidRPr="00054B2A">
        <w:rPr>
          <w:rFonts w:ascii="Geomanist" w:hAnsi="Geomanist" w:cs="Arial"/>
          <w:sz w:val="20"/>
          <w:szCs w:val="20"/>
          <w:lang w:val="es-ES_tradnl" w:eastAsia="es-ES"/>
        </w:rPr>
        <w:t>-------------------------------</w:t>
      </w:r>
      <w:r w:rsidR="00E30B68" w:rsidRPr="00054B2A">
        <w:rPr>
          <w:rFonts w:ascii="Geomanist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</w:t>
      </w:r>
    </w:p>
    <w:p w:rsidR="00E30B68" w:rsidRPr="00054B2A" w:rsidRDefault="00E30B68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Ramón López Hernández, Jefe del Departamento de Asuntos Jurídicos, señaló que los documentos </w:t>
      </w:r>
      <w:r w:rsidR="000F740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que presenta son copias de los que o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bran en sus archivos </w:t>
      </w:r>
      <w:r w:rsidR="000F740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y que los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documentos originales </w:t>
      </w:r>
      <w:r w:rsidR="000F740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se encuentran en los expedientes que están en proceso ante div</w:t>
      </w:r>
      <w:r w:rsidR="007B71A2">
        <w:rPr>
          <w:rFonts w:ascii="Geomanist" w:eastAsia="Times New Roman" w:hAnsi="Geomanist" w:cs="Arial"/>
          <w:sz w:val="20"/>
          <w:szCs w:val="20"/>
          <w:lang w:val="es-ES_tradnl" w:eastAsia="es-ES"/>
        </w:rPr>
        <w:t>e</w:t>
      </w:r>
      <w:r w:rsidR="000F740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rsas autoridades.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</w:t>
      </w:r>
      <w:r w:rsidR="00CF47BA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</w:t>
      </w:r>
    </w:p>
    <w:p w:rsidR="000F7402" w:rsidRPr="00054B2A" w:rsidRDefault="000F7402" w:rsidP="00054B2A">
      <w:pPr>
        <w:autoSpaceDE w:val="0"/>
        <w:autoSpaceDN w:val="0"/>
        <w:adjustRightInd w:val="0"/>
        <w:spacing w:line="276" w:lineRule="auto"/>
        <w:ind w:right="49"/>
        <w:jc w:val="both"/>
        <w:rPr>
          <w:rFonts w:ascii="Geomanist" w:hAnsi="Geomanist" w:cs="Arial"/>
          <w:bCs/>
          <w:sz w:val="20"/>
          <w:szCs w:val="20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Referente al punto dos y con el fin de agotar el principio de exhaustividad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, la Unidad de Transparencia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volvió a preguntar a las áreas responsables referente a la </w:t>
      </w:r>
      <w:proofErr w:type="spellStart"/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dictaminación</w:t>
      </w:r>
      <w:proofErr w:type="spellEnd"/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del acta administrativa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ya que dentro de la Guía de Operación del Departamento de Atención y Desarrollo de Capital Humano </w:t>
      </w:r>
      <w:r w:rsidR="007B71A2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de fecha octubre 2024, 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tiene el procedimiento 5. Relativo al levantamiento de acta administrativa. 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 xml:space="preserve">El Departamento de Asuntos Jurídicos 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confirm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ó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no se tiene la obligación de contar con ella,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por lo que no es necesario elaborar una resolución de inexistencia, de conformidad con el artículo </w:t>
      </w:r>
      <w:r w:rsidRPr="00054B2A">
        <w:rPr>
          <w:rFonts w:ascii="Geomanist" w:hAnsi="Geomanist" w:cs="Arial"/>
          <w:bCs/>
          <w:sz w:val="20"/>
          <w:szCs w:val="20"/>
        </w:rPr>
        <w:t xml:space="preserve">Artículo 47 de la Ley General de Protección de Datos Personales en Posesión de Sujetos Obligados: </w:t>
      </w:r>
    </w:p>
    <w:p w:rsidR="000F7402" w:rsidRPr="00054B2A" w:rsidRDefault="000F7402" w:rsidP="00054B2A">
      <w:pPr>
        <w:tabs>
          <w:tab w:val="left" w:pos="7938"/>
        </w:tabs>
        <w:autoSpaceDE w:val="0"/>
        <w:autoSpaceDN w:val="0"/>
        <w:adjustRightInd w:val="0"/>
        <w:spacing w:line="276" w:lineRule="auto"/>
        <w:ind w:left="851" w:right="900"/>
        <w:jc w:val="both"/>
        <w:rPr>
          <w:rFonts w:ascii="Geomanist" w:hAnsi="Geomanist" w:cs="Arial"/>
          <w:bCs/>
          <w:i/>
          <w:sz w:val="20"/>
          <w:szCs w:val="20"/>
        </w:rPr>
      </w:pPr>
      <w:r w:rsidRPr="00054B2A">
        <w:rPr>
          <w:rFonts w:ascii="Geomanist" w:hAnsi="Geomanist" w:cs="Arial"/>
          <w:bCs/>
          <w:i/>
          <w:sz w:val="20"/>
          <w:szCs w:val="20"/>
        </w:rPr>
        <w:t>“…</w:t>
      </w:r>
    </w:p>
    <w:p w:rsidR="000F7402" w:rsidRPr="00054B2A" w:rsidRDefault="000F7402" w:rsidP="00054B2A">
      <w:pPr>
        <w:tabs>
          <w:tab w:val="left" w:pos="7938"/>
        </w:tabs>
        <w:autoSpaceDE w:val="0"/>
        <w:autoSpaceDN w:val="0"/>
        <w:adjustRightInd w:val="0"/>
        <w:spacing w:line="276" w:lineRule="auto"/>
        <w:ind w:left="851" w:right="900"/>
        <w:jc w:val="both"/>
        <w:rPr>
          <w:rFonts w:ascii="Geomanist" w:hAnsi="Geomanist" w:cs="Arial"/>
          <w:bCs/>
          <w:i/>
          <w:sz w:val="20"/>
          <w:szCs w:val="20"/>
        </w:rPr>
      </w:pPr>
      <w:r w:rsidRPr="00054B2A">
        <w:rPr>
          <w:rFonts w:ascii="Geomanist" w:hAnsi="Geomanist" w:cs="Arial"/>
          <w:bCs/>
          <w:i/>
          <w:sz w:val="20"/>
          <w:szCs w:val="20"/>
        </w:rPr>
        <w:t>En caso de que el responsable declare inexistencia de los datos personales en sus archivos, registros, sistemas o expediente, dicha declaración deberá constar en una resolución del Comité de Transparencia que confirme la inexistencia de los datos personales […]” (sic)</w:t>
      </w:r>
    </w:p>
    <w:p w:rsidR="000F7402" w:rsidRPr="00054B2A" w:rsidRDefault="000F7402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8646B9" w:rsidRPr="00054B2A" w:rsidRDefault="008646B9" w:rsidP="00054B2A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Ramón López Hernández, Jefe del Departamento de Asuntos Jurídicos, aclaró que el procedimiento </w:t>
      </w:r>
      <w:r w:rsidR="007B71A2">
        <w:rPr>
          <w:rFonts w:ascii="Geomanist" w:eastAsia="Times New Roman" w:hAnsi="Geomanist" w:cs="Arial"/>
          <w:sz w:val="20"/>
          <w:szCs w:val="20"/>
          <w:lang w:val="es-ES_tradnl" w:eastAsia="es-ES"/>
        </w:rPr>
        <w:t>antes mencionado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, solo aplica para trabajadores de base. -----------------------------------------------------------------------------------------------------------------------------------------------------------------------------------------</w:t>
      </w:r>
    </w:p>
    <w:p w:rsidR="00797E78" w:rsidRPr="00054B2A" w:rsidRDefault="00797E78" w:rsidP="00054B2A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Sin come</w:t>
      </w:r>
      <w:r w:rsidR="00F66A7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ntarios adicionales, </w:t>
      </w:r>
      <w:r w:rsidR="00CF47BA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los integrantes del Comité de Transparencia </w:t>
      </w:r>
      <w:r w:rsidR="00F66A7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aprueba</w:t>
      </w:r>
      <w:r w:rsidR="00CF47BA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n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</w:t>
      </w:r>
      <w:r w:rsidR="00F66A7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la </w:t>
      </w:r>
      <w:r w:rsidR="00810FC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resolución </w:t>
      </w:r>
      <w:r w:rsidR="0009581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1</w:t>
      </w:r>
      <w:r w:rsidR="000C20FF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8</w:t>
      </w:r>
      <w:r w:rsidR="0009581E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/25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que re</w:t>
      </w:r>
      <w:r w:rsidR="00CF47BA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voca la reserva de información de</w:t>
      </w:r>
      <w:r w:rsidR="006810F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l</w:t>
      </w:r>
      <w:r w:rsidR="00CF47BA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punto 1 de la solicitud 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de acceso a datos personales 3300154250001</w:t>
      </w:r>
      <w:r w:rsidR="006810F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60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0653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instruye 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a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Ramón López Hernández, Jefe del Departamento de Asuntos Jurídicos, para que entregue </w:t>
      </w:r>
      <w:r w:rsidR="006810F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copia 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de lo</w:t>
      </w:r>
      <w:r w:rsidR="009E304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s documentos que dan atención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al punto número uno de la solicitud antes mencionada</w:t>
      </w:r>
      <w:r w:rsidR="009E3040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E30B6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y a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la Unidad de Transparencia para que entregue al ciudadano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, a través de la Plataforma Nacional de Transparencia</w:t>
      </w:r>
      <w:r w:rsidR="00FD21B7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85145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</w:t>
      </w:r>
      <w:r w:rsidR="0085145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</w:t>
      </w:r>
      <w:r w:rsidR="008646B9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</w:t>
      </w:r>
    </w:p>
    <w:p w:rsidR="009E3040" w:rsidRPr="00054B2A" w:rsidRDefault="009E3040" w:rsidP="00054B2A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María del Carmen Medina García, Subdirectora de Seguimiento Programático y Diseño Organizacional y Secretaria Técnica del Comité de Transparencia comentó que el día 26 de junio del año en curso el peticionario envió correo electrónico a la Unidad de Transparencia en el que menciona qu</w:t>
      </w:r>
      <w:r w:rsidR="006810F1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e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no se le ha dado respuesta a su solicitud, por lo que se le contestó acerca de los plazos que marca la Ley de la materia. 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473E6" w:rsidRPr="00054B2A" w:rsidRDefault="00797E78" w:rsidP="00054B2A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Al no existir otro asunto que tratar, los participantes firman la presente acta para constancia de la misma, quien presidió la reunión agradeció la participación de todos los asistentes y dio por concluida </w:t>
      </w:r>
      <w:r w:rsidR="0085145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la sesión presencial</w:t>
      </w:r>
      <w:r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</w:t>
      </w:r>
      <w:r w:rsidR="008D39D2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</w:t>
      </w:r>
      <w:r w:rsidR="00851458" w:rsidRPr="00054B2A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</w:t>
      </w:r>
    </w:p>
    <w:p w:rsidR="008D39D2" w:rsidRPr="00054B2A" w:rsidRDefault="008D39D2" w:rsidP="00054B2A">
      <w:pPr>
        <w:spacing w:line="276" w:lineRule="auto"/>
        <w:ind w:right="-1"/>
        <w:jc w:val="both"/>
        <w:rPr>
          <w:rFonts w:ascii="Geomanist" w:eastAsia="Times New Roman" w:hAnsi="Geomanist" w:cs="Arial"/>
          <w:sz w:val="19"/>
          <w:szCs w:val="19"/>
          <w:lang w:val="es-ES_tradnl" w:eastAsia="es-ES"/>
        </w:rPr>
      </w:pPr>
    </w:p>
    <w:p w:rsidR="00054B2A" w:rsidRPr="00054B2A" w:rsidRDefault="00054B2A" w:rsidP="00054B2A">
      <w:pPr>
        <w:spacing w:line="276" w:lineRule="auto"/>
        <w:ind w:right="-1"/>
        <w:jc w:val="both"/>
        <w:rPr>
          <w:rFonts w:ascii="Geomanist" w:eastAsia="Times New Roman" w:hAnsi="Geomanist" w:cs="Arial"/>
          <w:sz w:val="19"/>
          <w:szCs w:val="19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054B2A" w:rsidTr="00135BF7">
        <w:tc>
          <w:tcPr>
            <w:tcW w:w="4962" w:type="dxa"/>
            <w:shd w:val="clear" w:color="auto" w:fill="auto"/>
          </w:tcPr>
          <w:p w:rsidR="002A5F88" w:rsidRPr="00054B2A" w:rsidRDefault="00797E78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MIRIAM GUADALUPE HERRERA SEGURA</w:t>
            </w:r>
          </w:p>
          <w:p w:rsidR="00797E78" w:rsidRPr="00054B2A" w:rsidRDefault="00797E78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Directora de Planeación y Titular de la Unidad de Transparencia del Hospital Infantil de México Federico Gómez</w:t>
            </w:r>
            <w:r w:rsidR="00851458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.</w:t>
            </w:r>
          </w:p>
        </w:tc>
        <w:tc>
          <w:tcPr>
            <w:tcW w:w="1134" w:type="dxa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8D39D2" w:rsidRPr="00054B2A" w:rsidRDefault="008D39D2" w:rsidP="00054B2A">
      <w:pPr>
        <w:pStyle w:val="Textbody"/>
        <w:spacing w:line="276" w:lineRule="auto"/>
        <w:rPr>
          <w:rFonts w:ascii="Geomanist" w:hAnsi="Geomanist" w:cs="Arial"/>
          <w:kern w:val="0"/>
          <w:sz w:val="19"/>
          <w:szCs w:val="19"/>
          <w:lang w:val="es-ES_tradnl" w:eastAsia="es-ES"/>
        </w:rPr>
      </w:pPr>
    </w:p>
    <w:p w:rsidR="00054B2A" w:rsidRDefault="00054B2A" w:rsidP="00054B2A">
      <w:pPr>
        <w:pStyle w:val="Textbody"/>
        <w:spacing w:line="276" w:lineRule="auto"/>
        <w:rPr>
          <w:rFonts w:ascii="Geomanist" w:hAnsi="Geomanist" w:cs="Arial"/>
          <w:kern w:val="0"/>
          <w:sz w:val="19"/>
          <w:szCs w:val="19"/>
          <w:lang w:val="es-ES_tradnl" w:eastAsia="es-ES"/>
        </w:rPr>
      </w:pPr>
    </w:p>
    <w:p w:rsidR="00222A62" w:rsidRPr="00054B2A" w:rsidRDefault="00222A62" w:rsidP="00054B2A">
      <w:pPr>
        <w:pStyle w:val="Textbody"/>
        <w:spacing w:line="276" w:lineRule="auto"/>
        <w:rPr>
          <w:rFonts w:ascii="Geomanist" w:hAnsi="Geomanist" w:cs="Arial"/>
          <w:kern w:val="0"/>
          <w:sz w:val="19"/>
          <w:szCs w:val="19"/>
          <w:lang w:val="es-ES_tradnl" w:eastAsia="es-ES"/>
        </w:rPr>
      </w:pPr>
      <w:bookmarkStart w:id="0" w:name="_GoBack"/>
      <w:bookmarkEnd w:id="0"/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054B2A" w:rsidTr="00135BF7">
        <w:tc>
          <w:tcPr>
            <w:tcW w:w="4962" w:type="dxa"/>
            <w:shd w:val="clear" w:color="auto" w:fill="auto"/>
          </w:tcPr>
          <w:p w:rsidR="002A5F88" w:rsidRPr="00054B2A" w:rsidRDefault="00F66A77" w:rsidP="00054B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lastRenderedPageBreak/>
              <w:t>DIANA PAOLA CERÓN RUIZ</w:t>
            </w:r>
          </w:p>
          <w:p w:rsidR="00797E78" w:rsidRPr="00054B2A" w:rsidRDefault="009E3040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Jefa de la O</w:t>
            </w:r>
            <w:r w:rsidR="00F66A77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 xml:space="preserve">ficina de Representación en el </w:t>
            </w:r>
            <w:r w:rsidR="00851458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Hospital Infantil de México Federico Gómez</w:t>
            </w:r>
            <w:r w:rsidR="00F66A77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 xml:space="preserve">, en calidad de suplente de LINDA PILAR BLANCAS GARCÉS, Titular del Órgano Interno de Control </w:t>
            </w:r>
            <w:r w:rsidR="00851458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en la Secretarí</w:t>
            </w:r>
            <w:r w:rsidR="00F66A77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a de Salud.</w:t>
            </w:r>
          </w:p>
        </w:tc>
        <w:tc>
          <w:tcPr>
            <w:tcW w:w="1134" w:type="dxa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2D2E52" w:rsidRPr="00054B2A" w:rsidRDefault="002D2E52" w:rsidP="00054B2A">
      <w:pPr>
        <w:spacing w:line="276" w:lineRule="auto"/>
        <w:rPr>
          <w:rFonts w:ascii="Geomanist" w:hAnsi="Geomanist"/>
          <w:sz w:val="16"/>
          <w:szCs w:val="19"/>
        </w:rPr>
      </w:pPr>
    </w:p>
    <w:p w:rsidR="009E3040" w:rsidRPr="00054B2A" w:rsidRDefault="009E3040" w:rsidP="00054B2A">
      <w:pPr>
        <w:spacing w:line="276" w:lineRule="auto"/>
        <w:rPr>
          <w:rFonts w:ascii="Geomanist" w:hAnsi="Geomanist"/>
          <w:sz w:val="16"/>
          <w:szCs w:val="19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054B2A" w:rsidTr="00135BF7">
        <w:tc>
          <w:tcPr>
            <w:tcW w:w="4962" w:type="dxa"/>
            <w:shd w:val="clear" w:color="auto" w:fill="auto"/>
          </w:tcPr>
          <w:p w:rsidR="002A5F88" w:rsidRPr="00054B2A" w:rsidRDefault="00851458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HÉ</w:t>
            </w:r>
            <w:r w:rsidR="00797E78"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CTOR OLIVARES CLAVIJO</w:t>
            </w:r>
            <w:r w:rsidR="00D9234A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 xml:space="preserve"> </w:t>
            </w:r>
          </w:p>
          <w:p w:rsidR="00797E78" w:rsidRPr="00054B2A" w:rsidRDefault="00797E78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 xml:space="preserve">Jefe del Departamento de </w:t>
            </w:r>
            <w:proofErr w:type="spellStart"/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Hemerobiblioteca</w:t>
            </w:r>
            <w:proofErr w:type="spellEnd"/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 xml:space="preserve"> y Coordinador General de Archivos del Hospital Infantil de México Federico Gómez.</w:t>
            </w:r>
          </w:p>
        </w:tc>
        <w:tc>
          <w:tcPr>
            <w:tcW w:w="1134" w:type="dxa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101AE3" w:rsidRPr="00054B2A" w:rsidRDefault="00101AE3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p w:rsidR="009E3040" w:rsidRPr="00054B2A" w:rsidRDefault="009E3040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797E78" w:rsidRPr="00054B2A" w:rsidTr="00135BF7">
        <w:tc>
          <w:tcPr>
            <w:tcW w:w="4962" w:type="dxa"/>
            <w:shd w:val="clear" w:color="auto" w:fill="auto"/>
          </w:tcPr>
          <w:p w:rsidR="00797E78" w:rsidRPr="00054B2A" w:rsidRDefault="00797E78" w:rsidP="00054B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MARÍA DEL CARMEN MEDINA GARCÍA</w:t>
            </w:r>
          </w:p>
          <w:p w:rsidR="00797E78" w:rsidRPr="00054B2A" w:rsidRDefault="00797E78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Subdirectora de Seguimiento Programático y Diseño Organizacional y Secretaria Técnica del Comité de Transparencia del Hospital Infantil de México Federico Gómez.</w:t>
            </w:r>
          </w:p>
        </w:tc>
        <w:tc>
          <w:tcPr>
            <w:tcW w:w="1134" w:type="dxa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  <w:tr w:rsidR="00797E78" w:rsidRPr="00054B2A" w:rsidTr="00135BF7">
        <w:tc>
          <w:tcPr>
            <w:tcW w:w="4962" w:type="dxa"/>
            <w:shd w:val="clear" w:color="auto" w:fill="auto"/>
          </w:tcPr>
          <w:p w:rsidR="009E3040" w:rsidRPr="00054B2A" w:rsidRDefault="009E3040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6"/>
                <w:szCs w:val="19"/>
                <w:lang w:val="es-ES_tradnl" w:eastAsia="es-ES"/>
              </w:rPr>
            </w:pPr>
          </w:p>
          <w:p w:rsidR="009E3040" w:rsidRPr="00054B2A" w:rsidRDefault="009E3040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6"/>
                <w:szCs w:val="19"/>
                <w:lang w:val="es-ES_tradnl" w:eastAsia="es-ES"/>
              </w:rPr>
            </w:pPr>
          </w:p>
          <w:p w:rsidR="00344EA9" w:rsidRPr="00054B2A" w:rsidRDefault="00344EA9" w:rsidP="00054B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ALBERT GÓMEZ HERNÁNDEZ</w:t>
            </w:r>
          </w:p>
          <w:p w:rsidR="00797E78" w:rsidRPr="00054B2A" w:rsidRDefault="00344EA9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Jefe del Departamento de Gestión del Hospital Infantil de México Federico Gómez en representación de</w:t>
            </w: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 xml:space="preserve"> </w:t>
            </w:r>
            <w:r w:rsidR="00A2768C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ADRIAN CHÁVEZ LÓPEZ</w:t>
            </w: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 xml:space="preserve">, </w:t>
            </w:r>
            <w:r w:rsidR="00A2768C"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Director General del Hospital Infantil de México Federico Gómez</w:t>
            </w:r>
          </w:p>
        </w:tc>
        <w:tc>
          <w:tcPr>
            <w:tcW w:w="1134" w:type="dxa"/>
          </w:tcPr>
          <w:p w:rsidR="00F473E6" w:rsidRPr="00054B2A" w:rsidRDefault="00F473E6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  <w:p w:rsidR="00797E78" w:rsidRPr="00054B2A" w:rsidRDefault="00797E78" w:rsidP="00054B2A">
            <w:pPr>
              <w:tabs>
                <w:tab w:val="left" w:pos="980"/>
              </w:tabs>
              <w:spacing w:line="276" w:lineRule="auto"/>
              <w:rPr>
                <w:rFonts w:ascii="Geomanist" w:hAnsi="Geomanist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97E78" w:rsidRPr="00054B2A" w:rsidRDefault="00797E78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233DDA" w:rsidRPr="00054B2A" w:rsidRDefault="00233DDA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p w:rsidR="009E3040" w:rsidRPr="00054B2A" w:rsidRDefault="009E3040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A2768C" w:rsidRPr="00054B2A" w:rsidTr="00135BF7">
        <w:tc>
          <w:tcPr>
            <w:tcW w:w="4962" w:type="dxa"/>
            <w:shd w:val="clear" w:color="auto" w:fill="auto"/>
          </w:tcPr>
          <w:p w:rsidR="00233DDA" w:rsidRPr="00054B2A" w:rsidRDefault="00233DDA" w:rsidP="00054B2A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CIPRIANO SOLIS BADILLO</w:t>
            </w:r>
          </w:p>
          <w:p w:rsidR="00A2768C" w:rsidRPr="00054B2A" w:rsidRDefault="00233DDA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Director de Administración del Hospital Infantil de México Federico Gómez</w:t>
            </w:r>
          </w:p>
        </w:tc>
        <w:tc>
          <w:tcPr>
            <w:tcW w:w="1134" w:type="dxa"/>
          </w:tcPr>
          <w:p w:rsidR="00A2768C" w:rsidRPr="00054B2A" w:rsidRDefault="00A2768C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A2768C" w:rsidRPr="00054B2A" w:rsidRDefault="00A2768C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233DDA" w:rsidRPr="00054B2A" w:rsidRDefault="00233DDA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p w:rsidR="009E3040" w:rsidRPr="00054B2A" w:rsidRDefault="009E3040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A2768C" w:rsidRPr="00054B2A" w:rsidTr="00135BF7">
        <w:tc>
          <w:tcPr>
            <w:tcW w:w="4962" w:type="dxa"/>
            <w:shd w:val="clear" w:color="auto" w:fill="auto"/>
          </w:tcPr>
          <w:p w:rsidR="00A2768C" w:rsidRPr="00054B2A" w:rsidRDefault="00A2768C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RAMÓN LÓPEZ HERNÁNDEZ</w:t>
            </w:r>
          </w:p>
          <w:p w:rsidR="00A2768C" w:rsidRPr="00054B2A" w:rsidRDefault="00A2768C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Jefe del Departamento de Asuntos Jurídicos del Hospital Infantil de México Federico Gómez.</w:t>
            </w:r>
          </w:p>
        </w:tc>
        <w:tc>
          <w:tcPr>
            <w:tcW w:w="1134" w:type="dxa"/>
          </w:tcPr>
          <w:p w:rsidR="00A2768C" w:rsidRPr="00054B2A" w:rsidRDefault="00A2768C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A2768C" w:rsidRPr="00054B2A" w:rsidRDefault="00A2768C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A2768C" w:rsidRPr="00054B2A" w:rsidRDefault="00A2768C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p w:rsidR="00054B2A" w:rsidRPr="00054B2A" w:rsidRDefault="00054B2A" w:rsidP="00054B2A">
      <w:pPr>
        <w:pStyle w:val="Textbody"/>
        <w:spacing w:line="276" w:lineRule="auto"/>
        <w:rPr>
          <w:rFonts w:ascii="Geomanist" w:hAnsi="Geomanist" w:cs="Arial"/>
          <w:kern w:val="0"/>
          <w:sz w:val="16"/>
          <w:szCs w:val="19"/>
          <w:lang w:val="es-ES_tradnl" w:eastAsia="es-ES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214050" w:rsidRPr="00054B2A" w:rsidTr="008646B9">
        <w:tc>
          <w:tcPr>
            <w:tcW w:w="4962" w:type="dxa"/>
            <w:shd w:val="clear" w:color="auto" w:fill="auto"/>
          </w:tcPr>
          <w:p w:rsidR="00214050" w:rsidRPr="00054B2A" w:rsidRDefault="00214050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b/>
                <w:kern w:val="0"/>
                <w:sz w:val="19"/>
                <w:szCs w:val="19"/>
                <w:lang w:val="es-ES_tradnl" w:eastAsia="es-ES"/>
              </w:rPr>
              <w:t>MAYELY MONTSERRAT IBÁÑEZ VARGAS</w:t>
            </w:r>
          </w:p>
          <w:p w:rsidR="00214050" w:rsidRPr="00054B2A" w:rsidRDefault="00214050" w:rsidP="00054B2A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  <w:r w:rsidRPr="00054B2A"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  <w:t>Encargada del Despacho de la Subdirección de Recursos Humanos del Hospital Infantil de México Federico Gómez.</w:t>
            </w:r>
          </w:p>
        </w:tc>
        <w:tc>
          <w:tcPr>
            <w:tcW w:w="1134" w:type="dxa"/>
          </w:tcPr>
          <w:p w:rsidR="00214050" w:rsidRPr="00054B2A" w:rsidRDefault="00214050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4050" w:rsidRPr="00054B2A" w:rsidRDefault="00214050" w:rsidP="00054B2A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9"/>
                <w:szCs w:val="19"/>
                <w:lang w:val="es-ES_tradnl" w:eastAsia="es-ES"/>
              </w:rPr>
            </w:pPr>
          </w:p>
        </w:tc>
      </w:tr>
    </w:tbl>
    <w:p w:rsidR="00214050" w:rsidRPr="00054B2A" w:rsidRDefault="00214050" w:rsidP="00054B2A">
      <w:pPr>
        <w:spacing w:line="276" w:lineRule="auto"/>
        <w:rPr>
          <w:rFonts w:ascii="Geomanist" w:eastAsia="Times New Roman" w:hAnsi="Geomanist" w:cs="Arial"/>
          <w:sz w:val="6"/>
          <w:szCs w:val="19"/>
          <w:lang w:val="es-ES_tradnl" w:eastAsia="es-ES"/>
        </w:rPr>
      </w:pPr>
    </w:p>
    <w:sectPr w:rsidR="00214050" w:rsidRPr="00054B2A">
      <w:headerReference w:type="default" r:id="rId9"/>
      <w:footerReference w:type="default" r:id="rId10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A4" w:rsidRDefault="001446A4">
      <w:r>
        <w:separator/>
      </w:r>
    </w:p>
  </w:endnote>
  <w:endnote w:type="continuationSeparator" w:id="0">
    <w:p w:rsidR="001446A4" w:rsidRDefault="0014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B9" w:rsidRPr="008D1210" w:rsidRDefault="008646B9" w:rsidP="008D1210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222A62">
      <w:rPr>
        <w:rFonts w:ascii="Montserrat" w:hAnsi="Montserrat"/>
        <w:noProof/>
        <w:sz w:val="14"/>
        <w:szCs w:val="16"/>
      </w:rPr>
      <w:t>4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>
      <w:rPr>
        <w:rFonts w:ascii="Montserrat" w:hAnsi="Montserrat"/>
        <w:b/>
        <w:bCs/>
        <w:noProof/>
        <w:sz w:val="14"/>
        <w:szCs w:val="16"/>
      </w:rPr>
      <w:t xml:space="preserve">  /  </w: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04ED94" wp14:editId="331B0721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46B9" w:rsidRPr="009E6392" w:rsidRDefault="008646B9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Dr. Márquez No. 162, Col. Doctores, CP. 06720, Alcaldía Cuauhtémoc, Ciudad de México.</w:t>
                          </w:r>
                        </w:p>
                        <w:p w:rsidR="008646B9" w:rsidRPr="009E6392" w:rsidRDefault="008646B9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 www.himfg.edu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4ED94" id="Rectángulo 3" o:spid="_x0000_s1027" style="position:absolute;left:0;text-align:left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8646B9" w:rsidRPr="009E6392" w:rsidRDefault="008646B9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Dr. Márquez No. 162, Col. Doctores, CP. 06720, Alcaldía Cuauhtémoc, Ciudad de México.</w:t>
                    </w:r>
                  </w:p>
                  <w:p w:rsidR="008646B9" w:rsidRPr="009E6392" w:rsidRDefault="008646B9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 www.himfg.edu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  <w:r>
      <w:rPr>
        <w:rFonts w:ascii="Montserrat" w:hAnsi="Montserrat"/>
        <w:b/>
        <w:bCs/>
        <w:noProof/>
        <w:sz w:val="14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A4" w:rsidRDefault="001446A4">
      <w:r>
        <w:separator/>
      </w:r>
    </w:p>
  </w:footnote>
  <w:footnote w:type="continuationSeparator" w:id="0">
    <w:p w:rsidR="001446A4" w:rsidRDefault="0014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B9" w:rsidRDefault="008646B9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2396490</wp:posOffset>
              </wp:positionH>
              <wp:positionV relativeFrom="paragraph">
                <wp:posOffset>-1077595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6B9" w:rsidRPr="00027167" w:rsidRDefault="008646B9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MINUTA DE LA VIGÉSIMA</w:t>
                          </w:r>
                        </w:p>
                        <w:p w:rsidR="008646B9" w:rsidRPr="00027167" w:rsidRDefault="008646B9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 w:rsidRPr="00027167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 xml:space="preserve"> REUNIÓN EXTRAORDINARIA</w:t>
                          </w:r>
                        </w:p>
                        <w:p w:rsidR="008646B9" w:rsidRPr="00027167" w:rsidRDefault="008646B9" w:rsidP="002B4661">
                          <w:pPr>
                            <w:jc w:val="center"/>
                            <w:rPr>
                              <w:rFonts w:ascii="Geomanist" w:hAnsi="Geomanist"/>
                              <w:color w:val="000000"/>
                              <w:sz w:val="18"/>
                              <w:szCs w:val="18"/>
                            </w:rPr>
                          </w:pPr>
                          <w:r w:rsidRPr="00027167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(SESION PRESENCIAL) DEL COMITÉ DE TRANSPARENCIA DEL HOSPITAL INFANTIL DE MÉXICO FEDERICO GÓMEZ</w:t>
                          </w:r>
                        </w:p>
                        <w:p w:rsidR="008646B9" w:rsidRPr="00027167" w:rsidRDefault="008646B9" w:rsidP="00F26812">
                          <w:pPr>
                            <w:jc w:val="right"/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</w:pPr>
                          <w:r w:rsidRPr="00027167"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  <w:t>20</w:t>
                          </w:r>
                          <w:r w:rsidRPr="00027167"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  <w:t>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88.7pt;margin-top:-84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" fillcolor="white [3201]" strokecolor="white [3212]" strokeweight=".5pt">
              <v:textbox>
                <w:txbxContent>
                  <w:p w:rsidR="008646B9" w:rsidRPr="00027167" w:rsidRDefault="008646B9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MINUTA DE LA VIGÉSIMA</w:t>
                    </w:r>
                  </w:p>
                  <w:p w:rsidR="008646B9" w:rsidRPr="00027167" w:rsidRDefault="008646B9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 w:rsidRPr="00027167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 REUNIÓN EXTRAORDINARIA</w:t>
                    </w:r>
                  </w:p>
                  <w:p w:rsidR="008646B9" w:rsidRPr="00027167" w:rsidRDefault="008646B9" w:rsidP="002B4661">
                    <w:pPr>
                      <w:jc w:val="center"/>
                      <w:rPr>
                        <w:rFonts w:ascii="Geomanist" w:hAnsi="Geomanist"/>
                        <w:color w:val="000000"/>
                        <w:sz w:val="18"/>
                        <w:szCs w:val="18"/>
                      </w:rPr>
                    </w:pPr>
                    <w:r w:rsidRPr="00027167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(SESION PRESENCIAL) DEL COMITÉ DE TRANSPARENCIA DEL HOSPITAL INFANTIL DE MÉXICO FEDERICO GÓMEZ</w:t>
                    </w:r>
                  </w:p>
                  <w:p w:rsidR="008646B9" w:rsidRPr="00027167" w:rsidRDefault="008646B9" w:rsidP="00F26812">
                    <w:pPr>
                      <w:jc w:val="right"/>
                      <w:rPr>
                        <w:rFonts w:ascii="Geomanist" w:hAnsi="Geomanist"/>
                        <w:sz w:val="18"/>
                        <w:szCs w:val="18"/>
                      </w:rPr>
                    </w:pPr>
                    <w:r w:rsidRPr="00027167">
                      <w:rPr>
                        <w:rFonts w:ascii="Geomanist" w:hAnsi="Geomanist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Geomanist" w:hAnsi="Geomanist"/>
                        <w:sz w:val="18"/>
                        <w:szCs w:val="18"/>
                      </w:rPr>
                      <w:t>20</w:t>
                    </w:r>
                    <w:r w:rsidRPr="00027167">
                      <w:rPr>
                        <w:rFonts w:ascii="Geomanist" w:hAnsi="Geomanist"/>
                        <w:sz w:val="18"/>
                        <w:szCs w:val="18"/>
                      </w:rPr>
                      <w:t>/25</w:t>
                    </w:r>
                  </w:p>
                </w:txbxContent>
              </v:textbox>
            </v:shape>
          </w:pict>
        </mc:Fallback>
      </mc:AlternateConten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4BA"/>
    <w:multiLevelType w:val="hybridMultilevel"/>
    <w:tmpl w:val="473C4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247B6"/>
    <w:multiLevelType w:val="hybridMultilevel"/>
    <w:tmpl w:val="BC082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0079C"/>
    <w:rsid w:val="0001116A"/>
    <w:rsid w:val="00012A57"/>
    <w:rsid w:val="00020037"/>
    <w:rsid w:val="00027167"/>
    <w:rsid w:val="00054B2A"/>
    <w:rsid w:val="00071F8E"/>
    <w:rsid w:val="000749C8"/>
    <w:rsid w:val="000818C5"/>
    <w:rsid w:val="00082F9E"/>
    <w:rsid w:val="0009581E"/>
    <w:rsid w:val="000B1DCD"/>
    <w:rsid w:val="000C20FF"/>
    <w:rsid w:val="000C4729"/>
    <w:rsid w:val="000C742E"/>
    <w:rsid w:val="000F7402"/>
    <w:rsid w:val="00101AE3"/>
    <w:rsid w:val="00113332"/>
    <w:rsid w:val="0012247A"/>
    <w:rsid w:val="00135BF7"/>
    <w:rsid w:val="00140C78"/>
    <w:rsid w:val="0014199C"/>
    <w:rsid w:val="001446A4"/>
    <w:rsid w:val="00153AB4"/>
    <w:rsid w:val="00153D06"/>
    <w:rsid w:val="00166620"/>
    <w:rsid w:val="001859F2"/>
    <w:rsid w:val="001B6C1A"/>
    <w:rsid w:val="001C01EE"/>
    <w:rsid w:val="001D4B02"/>
    <w:rsid w:val="00214050"/>
    <w:rsid w:val="00222A62"/>
    <w:rsid w:val="00233DDA"/>
    <w:rsid w:val="002377DD"/>
    <w:rsid w:val="002508F4"/>
    <w:rsid w:val="00254B56"/>
    <w:rsid w:val="00275AD3"/>
    <w:rsid w:val="002775B3"/>
    <w:rsid w:val="00287AF8"/>
    <w:rsid w:val="002914D8"/>
    <w:rsid w:val="002A5F88"/>
    <w:rsid w:val="002B0E38"/>
    <w:rsid w:val="002B4661"/>
    <w:rsid w:val="002C21A5"/>
    <w:rsid w:val="002C5521"/>
    <w:rsid w:val="002D2E52"/>
    <w:rsid w:val="002D3439"/>
    <w:rsid w:val="002D58EB"/>
    <w:rsid w:val="002E6A64"/>
    <w:rsid w:val="002F0E1B"/>
    <w:rsid w:val="003019F2"/>
    <w:rsid w:val="003076CB"/>
    <w:rsid w:val="003140EE"/>
    <w:rsid w:val="0033087D"/>
    <w:rsid w:val="00343384"/>
    <w:rsid w:val="00344EA9"/>
    <w:rsid w:val="00352F33"/>
    <w:rsid w:val="0037516C"/>
    <w:rsid w:val="003925A5"/>
    <w:rsid w:val="00392D4D"/>
    <w:rsid w:val="00395BC7"/>
    <w:rsid w:val="003A72C6"/>
    <w:rsid w:val="003B69B5"/>
    <w:rsid w:val="003D76C7"/>
    <w:rsid w:val="003E3E7C"/>
    <w:rsid w:val="003E76EC"/>
    <w:rsid w:val="00427096"/>
    <w:rsid w:val="004271F4"/>
    <w:rsid w:val="004340E1"/>
    <w:rsid w:val="00457149"/>
    <w:rsid w:val="004612BD"/>
    <w:rsid w:val="00464FFC"/>
    <w:rsid w:val="00471714"/>
    <w:rsid w:val="00473821"/>
    <w:rsid w:val="004918B4"/>
    <w:rsid w:val="004A44FF"/>
    <w:rsid w:val="004A61AC"/>
    <w:rsid w:val="004A6765"/>
    <w:rsid w:val="004C533A"/>
    <w:rsid w:val="004D28E5"/>
    <w:rsid w:val="004E1D08"/>
    <w:rsid w:val="00526041"/>
    <w:rsid w:val="005473DD"/>
    <w:rsid w:val="00554898"/>
    <w:rsid w:val="00564058"/>
    <w:rsid w:val="00566714"/>
    <w:rsid w:val="0059022A"/>
    <w:rsid w:val="005A129B"/>
    <w:rsid w:val="005A4CCE"/>
    <w:rsid w:val="005B16AF"/>
    <w:rsid w:val="005B2142"/>
    <w:rsid w:val="005E010B"/>
    <w:rsid w:val="005E16A2"/>
    <w:rsid w:val="005E6297"/>
    <w:rsid w:val="00610297"/>
    <w:rsid w:val="00620D8A"/>
    <w:rsid w:val="00641606"/>
    <w:rsid w:val="00642EDC"/>
    <w:rsid w:val="00660D17"/>
    <w:rsid w:val="006630C1"/>
    <w:rsid w:val="006732C6"/>
    <w:rsid w:val="006810F1"/>
    <w:rsid w:val="00686DFF"/>
    <w:rsid w:val="0069770E"/>
    <w:rsid w:val="006B0C1D"/>
    <w:rsid w:val="006B5108"/>
    <w:rsid w:val="006C6358"/>
    <w:rsid w:val="006F0457"/>
    <w:rsid w:val="00706530"/>
    <w:rsid w:val="00707983"/>
    <w:rsid w:val="00715BB0"/>
    <w:rsid w:val="00727CF9"/>
    <w:rsid w:val="00744A90"/>
    <w:rsid w:val="00744CCF"/>
    <w:rsid w:val="007541B1"/>
    <w:rsid w:val="00761306"/>
    <w:rsid w:val="0078307C"/>
    <w:rsid w:val="00790601"/>
    <w:rsid w:val="00797E78"/>
    <w:rsid w:val="007A7821"/>
    <w:rsid w:val="007B71A2"/>
    <w:rsid w:val="007C75FC"/>
    <w:rsid w:val="00804B5B"/>
    <w:rsid w:val="00806411"/>
    <w:rsid w:val="00810FC2"/>
    <w:rsid w:val="00811249"/>
    <w:rsid w:val="00811F25"/>
    <w:rsid w:val="0082687D"/>
    <w:rsid w:val="00851458"/>
    <w:rsid w:val="008646B9"/>
    <w:rsid w:val="008677E0"/>
    <w:rsid w:val="008752B8"/>
    <w:rsid w:val="00876ACA"/>
    <w:rsid w:val="00876B31"/>
    <w:rsid w:val="008D1210"/>
    <w:rsid w:val="008D39D2"/>
    <w:rsid w:val="008E4E8D"/>
    <w:rsid w:val="00912AAA"/>
    <w:rsid w:val="00937571"/>
    <w:rsid w:val="00943BC0"/>
    <w:rsid w:val="00946E3A"/>
    <w:rsid w:val="00977DFF"/>
    <w:rsid w:val="009A0387"/>
    <w:rsid w:val="009A0E5E"/>
    <w:rsid w:val="009B5EC8"/>
    <w:rsid w:val="009E1E17"/>
    <w:rsid w:val="009E2DA9"/>
    <w:rsid w:val="009E3040"/>
    <w:rsid w:val="009E6392"/>
    <w:rsid w:val="009F28B3"/>
    <w:rsid w:val="00A02678"/>
    <w:rsid w:val="00A2768C"/>
    <w:rsid w:val="00A341C8"/>
    <w:rsid w:val="00A36A93"/>
    <w:rsid w:val="00A4047A"/>
    <w:rsid w:val="00A42EAE"/>
    <w:rsid w:val="00A5012A"/>
    <w:rsid w:val="00A56514"/>
    <w:rsid w:val="00A676E6"/>
    <w:rsid w:val="00A81990"/>
    <w:rsid w:val="00A837E6"/>
    <w:rsid w:val="00AA62EF"/>
    <w:rsid w:val="00AA640B"/>
    <w:rsid w:val="00AC1065"/>
    <w:rsid w:val="00AC5C9A"/>
    <w:rsid w:val="00AC70C1"/>
    <w:rsid w:val="00AC7588"/>
    <w:rsid w:val="00AC7841"/>
    <w:rsid w:val="00AD3C1E"/>
    <w:rsid w:val="00AD70E4"/>
    <w:rsid w:val="00AD7CA5"/>
    <w:rsid w:val="00AF45C8"/>
    <w:rsid w:val="00B67C7E"/>
    <w:rsid w:val="00B76901"/>
    <w:rsid w:val="00B8055E"/>
    <w:rsid w:val="00BA1B6F"/>
    <w:rsid w:val="00BE1152"/>
    <w:rsid w:val="00BE3E0A"/>
    <w:rsid w:val="00BE775E"/>
    <w:rsid w:val="00BF7446"/>
    <w:rsid w:val="00C21062"/>
    <w:rsid w:val="00C21E55"/>
    <w:rsid w:val="00C31280"/>
    <w:rsid w:val="00C33214"/>
    <w:rsid w:val="00C45642"/>
    <w:rsid w:val="00C47D7E"/>
    <w:rsid w:val="00C51B1D"/>
    <w:rsid w:val="00C53A3E"/>
    <w:rsid w:val="00C56D9E"/>
    <w:rsid w:val="00C92094"/>
    <w:rsid w:val="00C9546A"/>
    <w:rsid w:val="00CA2095"/>
    <w:rsid w:val="00CA6950"/>
    <w:rsid w:val="00CA7D42"/>
    <w:rsid w:val="00CB1855"/>
    <w:rsid w:val="00CB4C18"/>
    <w:rsid w:val="00CB5420"/>
    <w:rsid w:val="00CB55A1"/>
    <w:rsid w:val="00CB66FE"/>
    <w:rsid w:val="00CC027D"/>
    <w:rsid w:val="00CD010E"/>
    <w:rsid w:val="00CF47BA"/>
    <w:rsid w:val="00D03B61"/>
    <w:rsid w:val="00D2292C"/>
    <w:rsid w:val="00D24048"/>
    <w:rsid w:val="00D4056F"/>
    <w:rsid w:val="00D44E75"/>
    <w:rsid w:val="00D70372"/>
    <w:rsid w:val="00D709D9"/>
    <w:rsid w:val="00D9234A"/>
    <w:rsid w:val="00D92821"/>
    <w:rsid w:val="00D9529E"/>
    <w:rsid w:val="00D958B3"/>
    <w:rsid w:val="00DA263D"/>
    <w:rsid w:val="00DA3641"/>
    <w:rsid w:val="00DA64A6"/>
    <w:rsid w:val="00DB3819"/>
    <w:rsid w:val="00DB5AC5"/>
    <w:rsid w:val="00DD577C"/>
    <w:rsid w:val="00DF4DA6"/>
    <w:rsid w:val="00DF772F"/>
    <w:rsid w:val="00E05CC6"/>
    <w:rsid w:val="00E21A8C"/>
    <w:rsid w:val="00E30B68"/>
    <w:rsid w:val="00E40A2A"/>
    <w:rsid w:val="00E5240C"/>
    <w:rsid w:val="00E61AE4"/>
    <w:rsid w:val="00E75A1B"/>
    <w:rsid w:val="00E82853"/>
    <w:rsid w:val="00E9209F"/>
    <w:rsid w:val="00E94EC4"/>
    <w:rsid w:val="00EA084F"/>
    <w:rsid w:val="00EB060D"/>
    <w:rsid w:val="00EB53DC"/>
    <w:rsid w:val="00EC6253"/>
    <w:rsid w:val="00EF1351"/>
    <w:rsid w:val="00F26812"/>
    <w:rsid w:val="00F32D86"/>
    <w:rsid w:val="00F473E6"/>
    <w:rsid w:val="00F66A77"/>
    <w:rsid w:val="00F721A0"/>
    <w:rsid w:val="00F72D31"/>
    <w:rsid w:val="00F850BA"/>
    <w:rsid w:val="00F95D30"/>
    <w:rsid w:val="00F979CA"/>
    <w:rsid w:val="00FA2152"/>
    <w:rsid w:val="00FB41C3"/>
    <w:rsid w:val="00FC63A4"/>
    <w:rsid w:val="00FD192D"/>
    <w:rsid w:val="00FD21B7"/>
    <w:rsid w:val="00FE1A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1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2CDB17-5CE0-4326-A484-21326FE6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1793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HIM</cp:lastModifiedBy>
  <cp:revision>5</cp:revision>
  <cp:lastPrinted>2025-07-01T19:56:00Z</cp:lastPrinted>
  <dcterms:created xsi:type="dcterms:W3CDTF">2025-07-01T16:43:00Z</dcterms:created>
  <dcterms:modified xsi:type="dcterms:W3CDTF">2025-07-01T19:57:00Z</dcterms:modified>
</cp:coreProperties>
</file>