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096" w:rsidRPr="00D36E68" w:rsidRDefault="00427096" w:rsidP="00D36E68">
      <w:pPr>
        <w:spacing w:line="276" w:lineRule="auto"/>
        <w:rPr>
          <w:rFonts w:ascii="Arial" w:hAnsi="Arial" w:cs="Arial"/>
          <w:b/>
          <w:sz w:val="20"/>
          <w:szCs w:val="20"/>
        </w:rPr>
      </w:pPr>
    </w:p>
    <w:p w:rsidR="00427096" w:rsidRPr="00D36E68" w:rsidRDefault="00484217" w:rsidP="00D36E68">
      <w:pPr>
        <w:spacing w:line="276" w:lineRule="auto"/>
        <w:jc w:val="center"/>
        <w:rPr>
          <w:rFonts w:ascii="Arial" w:hAnsi="Arial" w:cs="Arial"/>
          <w:b/>
          <w:sz w:val="20"/>
          <w:szCs w:val="20"/>
        </w:rPr>
      </w:pPr>
      <w:r>
        <w:rPr>
          <w:rFonts w:ascii="Arial" w:hAnsi="Arial" w:cs="Arial"/>
          <w:b/>
          <w:sz w:val="20"/>
          <w:szCs w:val="20"/>
        </w:rPr>
        <w:t>RESOLUCIÓ</w:t>
      </w:r>
      <w:r w:rsidR="00427096" w:rsidRPr="00D36E68">
        <w:rPr>
          <w:rFonts w:ascii="Arial" w:hAnsi="Arial" w:cs="Arial"/>
          <w:b/>
          <w:sz w:val="20"/>
          <w:szCs w:val="20"/>
        </w:rPr>
        <w:t xml:space="preserve">N </w:t>
      </w:r>
      <w:r w:rsidR="00293666" w:rsidRPr="00D36E68">
        <w:rPr>
          <w:rFonts w:ascii="Arial" w:hAnsi="Arial" w:cs="Arial"/>
          <w:b/>
          <w:sz w:val="20"/>
          <w:szCs w:val="20"/>
        </w:rPr>
        <w:t>1</w:t>
      </w:r>
      <w:r w:rsidR="00002260" w:rsidRPr="00D36E68">
        <w:rPr>
          <w:rFonts w:ascii="Arial" w:hAnsi="Arial" w:cs="Arial"/>
          <w:b/>
          <w:sz w:val="20"/>
          <w:szCs w:val="20"/>
        </w:rPr>
        <w:t>6</w:t>
      </w:r>
      <w:r w:rsidR="00F05FB9" w:rsidRPr="00D36E68">
        <w:rPr>
          <w:rFonts w:ascii="Arial" w:hAnsi="Arial" w:cs="Arial"/>
          <w:b/>
          <w:sz w:val="20"/>
          <w:szCs w:val="20"/>
        </w:rPr>
        <w:t xml:space="preserve">/25 QUE CONFIRMA </w:t>
      </w:r>
      <w:r w:rsidR="00427096" w:rsidRPr="00D36E68">
        <w:rPr>
          <w:rFonts w:ascii="Arial" w:hAnsi="Arial" w:cs="Arial"/>
          <w:b/>
          <w:sz w:val="20"/>
          <w:szCs w:val="20"/>
        </w:rPr>
        <w:t xml:space="preserve">LA CLASIFICACIÓN DE INFORMACIÓN CONFIDENCIAL Y SE APRUEBA LA VERSIÓN PÚBLICA PARA ATENDER LA </w:t>
      </w:r>
      <w:r w:rsidR="00002260" w:rsidRPr="00D36E68">
        <w:rPr>
          <w:rFonts w:ascii="Arial" w:hAnsi="Arial" w:cs="Arial"/>
          <w:b/>
          <w:sz w:val="20"/>
          <w:szCs w:val="20"/>
        </w:rPr>
        <w:t xml:space="preserve">RESOLUCIÓN DEL RECURSO DE REVISIÓN RRA 1666/25 RELACIONADA CON LA </w:t>
      </w:r>
      <w:r w:rsidR="00427096" w:rsidRPr="00D36E68">
        <w:rPr>
          <w:rFonts w:ascii="Arial" w:hAnsi="Arial" w:cs="Arial"/>
          <w:b/>
          <w:sz w:val="20"/>
          <w:szCs w:val="20"/>
        </w:rPr>
        <w:t>SOLICITUD DE ACCESO A INF</w:t>
      </w:r>
      <w:r w:rsidR="00B37048" w:rsidRPr="00D36E68">
        <w:rPr>
          <w:rFonts w:ascii="Arial" w:hAnsi="Arial" w:cs="Arial"/>
          <w:b/>
          <w:sz w:val="20"/>
          <w:szCs w:val="20"/>
        </w:rPr>
        <w:t>ORMACIÓN PÚBLICA 3300154250000</w:t>
      </w:r>
      <w:r w:rsidR="00B3274D" w:rsidRPr="00D36E68">
        <w:rPr>
          <w:rFonts w:ascii="Arial" w:hAnsi="Arial" w:cs="Arial"/>
          <w:b/>
          <w:sz w:val="20"/>
          <w:szCs w:val="20"/>
        </w:rPr>
        <w:t>11</w:t>
      </w:r>
    </w:p>
    <w:p w:rsidR="00427096" w:rsidRPr="00D36E68" w:rsidRDefault="00427096" w:rsidP="00D36E68">
      <w:pPr>
        <w:spacing w:line="276" w:lineRule="auto"/>
        <w:jc w:val="both"/>
        <w:rPr>
          <w:rFonts w:ascii="Arial" w:hAnsi="Arial" w:cs="Arial"/>
          <w:sz w:val="20"/>
          <w:szCs w:val="20"/>
        </w:rPr>
      </w:pPr>
    </w:p>
    <w:p w:rsidR="006B56D9" w:rsidRPr="00D36E68" w:rsidRDefault="006B56D9" w:rsidP="00D36E68">
      <w:pPr>
        <w:spacing w:line="276" w:lineRule="auto"/>
        <w:jc w:val="both"/>
        <w:rPr>
          <w:rFonts w:ascii="Arial" w:hAnsi="Arial" w:cs="Arial"/>
          <w:sz w:val="20"/>
          <w:szCs w:val="20"/>
        </w:rPr>
      </w:pPr>
    </w:p>
    <w:p w:rsidR="00427096" w:rsidRPr="00D36E68" w:rsidRDefault="00427096" w:rsidP="00D36E68">
      <w:pPr>
        <w:pStyle w:val="Textoindependiente3"/>
        <w:tabs>
          <w:tab w:val="left" w:pos="284"/>
        </w:tabs>
        <w:spacing w:after="0" w:line="276" w:lineRule="auto"/>
        <w:jc w:val="both"/>
        <w:rPr>
          <w:rFonts w:cs="Arial"/>
          <w:sz w:val="20"/>
          <w:szCs w:val="20"/>
        </w:rPr>
      </w:pPr>
      <w:r w:rsidRPr="00D36E68">
        <w:rPr>
          <w:rFonts w:cs="Arial"/>
          <w:sz w:val="20"/>
          <w:szCs w:val="20"/>
        </w:rPr>
        <w:t xml:space="preserve">En la Ciudad de México siendo el día </w:t>
      </w:r>
      <w:r w:rsidR="00002260" w:rsidRPr="00D36E68">
        <w:rPr>
          <w:rFonts w:cs="Arial"/>
          <w:sz w:val="20"/>
          <w:szCs w:val="20"/>
        </w:rPr>
        <w:t xml:space="preserve">veintisiete </w:t>
      </w:r>
      <w:r w:rsidR="00B37048" w:rsidRPr="00D36E68">
        <w:rPr>
          <w:rFonts w:cs="Arial"/>
          <w:sz w:val="20"/>
          <w:szCs w:val="20"/>
        </w:rPr>
        <w:t xml:space="preserve">de </w:t>
      </w:r>
      <w:r w:rsidR="00EA719A" w:rsidRPr="00D36E68">
        <w:rPr>
          <w:rFonts w:cs="Arial"/>
          <w:sz w:val="20"/>
          <w:szCs w:val="20"/>
        </w:rPr>
        <w:t xml:space="preserve">junio </w:t>
      </w:r>
      <w:r w:rsidRPr="00D36E68">
        <w:rPr>
          <w:rFonts w:cs="Arial"/>
          <w:sz w:val="20"/>
          <w:szCs w:val="20"/>
        </w:rPr>
        <w:t>del año dos mil veinticinco-----------------------------------------------------------------------------------------------------------------------</w:t>
      </w:r>
      <w:r w:rsidR="00066306" w:rsidRPr="00D36E68">
        <w:rPr>
          <w:rFonts w:cs="Arial"/>
          <w:sz w:val="20"/>
          <w:szCs w:val="20"/>
        </w:rPr>
        <w:t>-------------------------------</w:t>
      </w:r>
      <w:r w:rsidR="00002260" w:rsidRPr="00D36E68">
        <w:rPr>
          <w:rFonts w:cs="Arial"/>
          <w:sz w:val="20"/>
          <w:szCs w:val="20"/>
        </w:rPr>
        <w:t>--</w:t>
      </w:r>
    </w:p>
    <w:p w:rsidR="00427096" w:rsidRPr="00D36E68" w:rsidRDefault="00427096" w:rsidP="00D36E68">
      <w:pPr>
        <w:pStyle w:val="Textoindependiente3"/>
        <w:tabs>
          <w:tab w:val="left" w:pos="284"/>
        </w:tabs>
        <w:spacing w:after="0" w:line="276" w:lineRule="auto"/>
        <w:jc w:val="both"/>
        <w:rPr>
          <w:rFonts w:cs="Arial"/>
          <w:sz w:val="20"/>
          <w:szCs w:val="20"/>
        </w:rPr>
      </w:pPr>
      <w:r w:rsidRPr="00D36E68">
        <w:rPr>
          <w:rFonts w:cs="Arial"/>
          <w:sz w:val="20"/>
          <w:szCs w:val="20"/>
        </w:rPr>
        <w:t xml:space="preserve">Vistos para resolver sobre </w:t>
      </w:r>
      <w:r w:rsidR="009E07E4" w:rsidRPr="00D36E68">
        <w:rPr>
          <w:rFonts w:cs="Arial"/>
          <w:sz w:val="20"/>
          <w:szCs w:val="20"/>
        </w:rPr>
        <w:t xml:space="preserve">el cumplimiento a </w:t>
      </w:r>
      <w:r w:rsidRPr="00D36E68">
        <w:rPr>
          <w:rFonts w:cs="Arial"/>
          <w:sz w:val="20"/>
          <w:szCs w:val="20"/>
        </w:rPr>
        <w:t xml:space="preserve">la </w:t>
      </w:r>
      <w:r w:rsidR="001B5953" w:rsidRPr="00D36E68">
        <w:rPr>
          <w:rFonts w:cs="Arial"/>
          <w:sz w:val="20"/>
          <w:szCs w:val="20"/>
        </w:rPr>
        <w:t xml:space="preserve">resolución </w:t>
      </w:r>
      <w:r w:rsidR="009E07E4" w:rsidRPr="00D36E68">
        <w:rPr>
          <w:rFonts w:cs="Arial"/>
          <w:sz w:val="20"/>
          <w:szCs w:val="20"/>
        </w:rPr>
        <w:t>del</w:t>
      </w:r>
      <w:r w:rsidR="001B5953" w:rsidRPr="00D36E68">
        <w:rPr>
          <w:rFonts w:cs="Arial"/>
          <w:sz w:val="20"/>
          <w:szCs w:val="20"/>
        </w:rPr>
        <w:t xml:space="preserve"> recurso RRA 1666/25 referente a la solicitud </w:t>
      </w:r>
      <w:r w:rsidR="00B37048" w:rsidRPr="00D36E68">
        <w:rPr>
          <w:rFonts w:cs="Arial"/>
          <w:sz w:val="20"/>
          <w:szCs w:val="20"/>
        </w:rPr>
        <w:t>330015425000</w:t>
      </w:r>
      <w:r w:rsidR="001B5953" w:rsidRPr="00D36E68">
        <w:rPr>
          <w:rFonts w:cs="Arial"/>
          <w:sz w:val="20"/>
          <w:szCs w:val="20"/>
        </w:rPr>
        <w:t>011</w:t>
      </w:r>
      <w:r w:rsidRPr="00D36E68">
        <w:rPr>
          <w:rFonts w:cs="Arial"/>
          <w:sz w:val="20"/>
          <w:szCs w:val="20"/>
        </w:rPr>
        <w:t xml:space="preserve"> </w:t>
      </w:r>
      <w:r w:rsidR="00C160B4" w:rsidRPr="00D36E68">
        <w:rPr>
          <w:rFonts w:cs="Arial"/>
          <w:sz w:val="20"/>
          <w:szCs w:val="20"/>
        </w:rPr>
        <w:t>notificada</w:t>
      </w:r>
      <w:r w:rsidRPr="00D36E68">
        <w:rPr>
          <w:rFonts w:cs="Arial"/>
          <w:sz w:val="20"/>
          <w:szCs w:val="20"/>
        </w:rPr>
        <w:t xml:space="preserve"> a través de la Plataforma Nacional de Transparencia. --------------------------------------------------------------------------------------------------------------------------------------</w:t>
      </w:r>
      <w:r w:rsidR="006B56D9" w:rsidRPr="00D36E68">
        <w:rPr>
          <w:rFonts w:cs="Arial"/>
          <w:sz w:val="20"/>
          <w:szCs w:val="20"/>
        </w:rPr>
        <w:t>--------</w:t>
      </w:r>
    </w:p>
    <w:p w:rsidR="00427096" w:rsidRPr="00D36E68" w:rsidRDefault="00427096" w:rsidP="00D36E68">
      <w:pPr>
        <w:pStyle w:val="Textoindependiente3"/>
        <w:tabs>
          <w:tab w:val="left" w:pos="284"/>
        </w:tabs>
        <w:spacing w:after="0" w:line="276" w:lineRule="auto"/>
        <w:jc w:val="both"/>
        <w:rPr>
          <w:rFonts w:cs="Arial"/>
          <w:sz w:val="20"/>
          <w:szCs w:val="20"/>
        </w:rPr>
      </w:pPr>
      <w:r w:rsidRPr="00D36E68">
        <w:rPr>
          <w:rFonts w:cs="Arial"/>
          <w:sz w:val="20"/>
          <w:szCs w:val="20"/>
        </w:rPr>
        <w:t>--------------------------</w:t>
      </w:r>
      <w:r w:rsidR="00066306" w:rsidRPr="00D36E68">
        <w:rPr>
          <w:rFonts w:cs="Arial"/>
          <w:sz w:val="20"/>
          <w:szCs w:val="20"/>
        </w:rPr>
        <w:t>-------------------------</w:t>
      </w:r>
      <w:r w:rsidRPr="00D36E68">
        <w:rPr>
          <w:rFonts w:cs="Arial"/>
          <w:sz w:val="20"/>
          <w:szCs w:val="20"/>
        </w:rPr>
        <w:t>A N T E C E D E N T E S----------------------------------------</w:t>
      </w:r>
      <w:r w:rsidR="00066306" w:rsidRPr="00D36E68">
        <w:rPr>
          <w:rFonts w:cs="Arial"/>
          <w:sz w:val="20"/>
          <w:szCs w:val="20"/>
        </w:rPr>
        <w:t>-----</w:t>
      </w:r>
      <w:r w:rsidR="006B56D9" w:rsidRPr="00D36E68">
        <w:rPr>
          <w:rFonts w:cs="Arial"/>
          <w:sz w:val="20"/>
          <w:szCs w:val="20"/>
        </w:rPr>
        <w:t>---</w:t>
      </w:r>
    </w:p>
    <w:p w:rsidR="00CA3240" w:rsidRPr="00D36E68" w:rsidRDefault="00427096" w:rsidP="00D36E68">
      <w:pPr>
        <w:pStyle w:val="Textoindependiente3"/>
        <w:numPr>
          <w:ilvl w:val="0"/>
          <w:numId w:val="1"/>
        </w:numPr>
        <w:tabs>
          <w:tab w:val="left" w:pos="284"/>
        </w:tabs>
        <w:spacing w:after="0" w:line="276" w:lineRule="auto"/>
        <w:ind w:left="0" w:firstLine="0"/>
        <w:jc w:val="both"/>
        <w:rPr>
          <w:rFonts w:cs="Arial"/>
          <w:sz w:val="20"/>
          <w:szCs w:val="20"/>
        </w:rPr>
      </w:pPr>
      <w:r w:rsidRPr="00D36E68">
        <w:rPr>
          <w:rFonts w:cs="Arial"/>
          <w:sz w:val="20"/>
          <w:szCs w:val="20"/>
        </w:rPr>
        <w:t xml:space="preserve">Con fecha </w:t>
      </w:r>
      <w:r w:rsidR="00E47352" w:rsidRPr="00D36E68">
        <w:rPr>
          <w:rFonts w:cs="Arial"/>
          <w:sz w:val="20"/>
          <w:szCs w:val="20"/>
        </w:rPr>
        <w:t xml:space="preserve">diecisiete </w:t>
      </w:r>
      <w:r w:rsidR="00006207" w:rsidRPr="00D36E68">
        <w:rPr>
          <w:rFonts w:cs="Arial"/>
          <w:sz w:val="20"/>
          <w:szCs w:val="20"/>
        </w:rPr>
        <w:t>de</w:t>
      </w:r>
      <w:r w:rsidR="00066306" w:rsidRPr="00D36E68">
        <w:rPr>
          <w:rFonts w:cs="Arial"/>
          <w:sz w:val="20"/>
          <w:szCs w:val="20"/>
        </w:rPr>
        <w:t xml:space="preserve"> </w:t>
      </w:r>
      <w:r w:rsidR="00E47352" w:rsidRPr="00D36E68">
        <w:rPr>
          <w:rFonts w:cs="Arial"/>
          <w:sz w:val="20"/>
          <w:szCs w:val="20"/>
        </w:rPr>
        <w:t xml:space="preserve">junio </w:t>
      </w:r>
      <w:r w:rsidR="00066306" w:rsidRPr="00D36E68">
        <w:rPr>
          <w:rFonts w:cs="Arial"/>
          <w:sz w:val="20"/>
          <w:szCs w:val="20"/>
        </w:rPr>
        <w:t>de 2025</w:t>
      </w:r>
      <w:r w:rsidRPr="00D36E68">
        <w:rPr>
          <w:rFonts w:cs="Arial"/>
          <w:sz w:val="20"/>
          <w:szCs w:val="20"/>
        </w:rPr>
        <w:t>, se recibió en la Unidad de Transparencia del Hospital Infantil de México Federico Gómez, a través de la Plataforma Nacional de Transparencia,</w:t>
      </w:r>
      <w:r w:rsidR="00666BB1" w:rsidRPr="00D36E68">
        <w:rPr>
          <w:rFonts w:cs="Arial"/>
          <w:sz w:val="20"/>
          <w:szCs w:val="20"/>
        </w:rPr>
        <w:t xml:space="preserve"> la resolución al recurso de revisión RRA 1666/25 referente a la solicitud 330015425000011</w:t>
      </w:r>
      <w:r w:rsidRPr="00D36E68">
        <w:rPr>
          <w:rFonts w:cs="Arial"/>
          <w:sz w:val="20"/>
          <w:szCs w:val="20"/>
        </w:rPr>
        <w:t xml:space="preserve"> en la que se re</w:t>
      </w:r>
      <w:r w:rsidR="00666BB1" w:rsidRPr="00D36E68">
        <w:rPr>
          <w:rFonts w:cs="Arial"/>
          <w:sz w:val="20"/>
          <w:szCs w:val="20"/>
        </w:rPr>
        <w:t>solvió</w:t>
      </w:r>
      <w:r w:rsidR="00CA3240" w:rsidRPr="00D36E68">
        <w:rPr>
          <w:rFonts w:cs="Arial"/>
          <w:sz w:val="20"/>
          <w:szCs w:val="20"/>
        </w:rPr>
        <w:t>:</w:t>
      </w:r>
    </w:p>
    <w:p w:rsidR="00427096" w:rsidRPr="00D36E68" w:rsidRDefault="00427096" w:rsidP="00D36E68">
      <w:pPr>
        <w:pStyle w:val="Textoindependiente3"/>
        <w:tabs>
          <w:tab w:val="left" w:pos="284"/>
        </w:tabs>
        <w:spacing w:after="0" w:line="276" w:lineRule="auto"/>
        <w:jc w:val="both"/>
        <w:rPr>
          <w:rFonts w:cs="Arial"/>
          <w:sz w:val="20"/>
          <w:szCs w:val="20"/>
        </w:rPr>
      </w:pPr>
    </w:p>
    <w:p w:rsidR="00CA3240" w:rsidRPr="00D36E68" w:rsidRDefault="00591EDA" w:rsidP="00D36E68">
      <w:pPr>
        <w:pStyle w:val="Textoindependiente3"/>
        <w:tabs>
          <w:tab w:val="left" w:pos="284"/>
        </w:tabs>
        <w:spacing w:after="0" w:line="276" w:lineRule="auto"/>
        <w:ind w:left="709" w:right="1183"/>
        <w:jc w:val="both"/>
        <w:rPr>
          <w:rFonts w:cs="Arial"/>
          <w:b/>
          <w:i/>
          <w:iCs/>
          <w:sz w:val="20"/>
          <w:szCs w:val="20"/>
        </w:rPr>
      </w:pPr>
      <w:r w:rsidRPr="00D36E68">
        <w:rPr>
          <w:rFonts w:cs="Arial"/>
          <w:b/>
          <w:i/>
          <w:iCs/>
          <w:noProof/>
          <w:sz w:val="20"/>
          <w:szCs w:val="20"/>
          <w:lang w:val="es-MX" w:eastAsia="es-MX"/>
        </w:rPr>
        <w:drawing>
          <wp:inline distT="0" distB="0" distL="0" distR="0" wp14:anchorId="43DFF1C2" wp14:editId="014A87DB">
            <wp:extent cx="4733925" cy="1457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925" cy="1457325"/>
                    </a:xfrm>
                    <a:prstGeom prst="rect">
                      <a:avLst/>
                    </a:prstGeom>
                    <a:noFill/>
                    <a:ln>
                      <a:noFill/>
                    </a:ln>
                  </pic:spPr>
                </pic:pic>
              </a:graphicData>
            </a:graphic>
          </wp:inline>
        </w:drawing>
      </w:r>
    </w:p>
    <w:p w:rsidR="001F606B" w:rsidRPr="00D36E68" w:rsidRDefault="001F606B" w:rsidP="00D36E68">
      <w:pPr>
        <w:pStyle w:val="Textoindependiente3"/>
        <w:tabs>
          <w:tab w:val="left" w:pos="284"/>
        </w:tabs>
        <w:spacing w:after="0" w:line="276" w:lineRule="auto"/>
        <w:ind w:left="709" w:right="1183"/>
        <w:jc w:val="both"/>
        <w:rPr>
          <w:rFonts w:cs="Arial"/>
          <w:b/>
          <w:i/>
          <w:iCs/>
          <w:sz w:val="20"/>
          <w:szCs w:val="20"/>
        </w:rPr>
      </w:pPr>
      <w:r w:rsidRPr="00D36E68">
        <w:rPr>
          <w:rFonts w:cs="Arial"/>
          <w:b/>
          <w:i/>
          <w:iCs/>
          <w:noProof/>
          <w:sz w:val="20"/>
          <w:szCs w:val="20"/>
          <w:lang w:val="es-MX" w:eastAsia="es-MX"/>
        </w:rPr>
        <w:drawing>
          <wp:inline distT="0" distB="0" distL="0" distR="0">
            <wp:extent cx="4848225" cy="20002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8225" cy="2000250"/>
                    </a:xfrm>
                    <a:prstGeom prst="rect">
                      <a:avLst/>
                    </a:prstGeom>
                    <a:noFill/>
                    <a:ln>
                      <a:noFill/>
                    </a:ln>
                  </pic:spPr>
                </pic:pic>
              </a:graphicData>
            </a:graphic>
          </wp:inline>
        </w:drawing>
      </w:r>
    </w:p>
    <w:p w:rsidR="00427096" w:rsidRPr="00D36E68" w:rsidRDefault="00427096" w:rsidP="00D36E68">
      <w:pPr>
        <w:pStyle w:val="Textoindependiente3"/>
        <w:tabs>
          <w:tab w:val="left" w:pos="284"/>
        </w:tabs>
        <w:spacing w:after="0" w:line="276" w:lineRule="auto"/>
        <w:ind w:left="709" w:right="1183"/>
        <w:jc w:val="both"/>
        <w:rPr>
          <w:rFonts w:cs="Arial"/>
          <w:b/>
          <w:i/>
          <w:iCs/>
          <w:sz w:val="20"/>
          <w:szCs w:val="20"/>
        </w:rPr>
      </w:pPr>
    </w:p>
    <w:p w:rsidR="00427096" w:rsidRPr="00D36E68" w:rsidRDefault="00427096" w:rsidP="00D36E68">
      <w:pPr>
        <w:pStyle w:val="Textoindependiente3"/>
        <w:tabs>
          <w:tab w:val="left" w:pos="284"/>
        </w:tabs>
        <w:spacing w:after="0" w:line="276" w:lineRule="auto"/>
        <w:ind w:left="709" w:right="1183"/>
        <w:jc w:val="both"/>
        <w:rPr>
          <w:rFonts w:cs="Arial"/>
          <w:i/>
          <w:iCs/>
          <w:sz w:val="20"/>
          <w:szCs w:val="20"/>
        </w:rPr>
      </w:pPr>
    </w:p>
    <w:p w:rsidR="001F606B" w:rsidRPr="00D36E68" w:rsidRDefault="001F606B" w:rsidP="00D36E68">
      <w:pPr>
        <w:pStyle w:val="Textoindependiente3"/>
        <w:tabs>
          <w:tab w:val="left" w:pos="284"/>
        </w:tabs>
        <w:spacing w:after="0" w:line="276" w:lineRule="auto"/>
        <w:ind w:left="709" w:right="1183"/>
        <w:jc w:val="both"/>
        <w:rPr>
          <w:rFonts w:cs="Arial"/>
          <w:i/>
          <w:iCs/>
          <w:sz w:val="20"/>
          <w:szCs w:val="20"/>
        </w:rPr>
      </w:pPr>
    </w:p>
    <w:p w:rsidR="001F606B" w:rsidRPr="00D36E68" w:rsidRDefault="001F606B" w:rsidP="00D36E68">
      <w:pPr>
        <w:pStyle w:val="Textoindependiente3"/>
        <w:tabs>
          <w:tab w:val="left" w:pos="284"/>
        </w:tabs>
        <w:spacing w:after="0" w:line="276" w:lineRule="auto"/>
        <w:ind w:left="709" w:right="1183"/>
        <w:jc w:val="both"/>
        <w:rPr>
          <w:rFonts w:cs="Arial"/>
          <w:i/>
          <w:iCs/>
          <w:sz w:val="20"/>
          <w:szCs w:val="20"/>
        </w:rPr>
      </w:pPr>
      <w:r w:rsidRPr="00D36E68">
        <w:rPr>
          <w:rFonts w:cs="Arial"/>
          <w:i/>
          <w:iCs/>
          <w:noProof/>
          <w:sz w:val="20"/>
          <w:szCs w:val="20"/>
          <w:lang w:val="es-MX" w:eastAsia="es-MX"/>
        </w:rPr>
        <w:drawing>
          <wp:inline distT="0" distB="0" distL="0" distR="0">
            <wp:extent cx="4962525" cy="24003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2525" cy="2400300"/>
                    </a:xfrm>
                    <a:prstGeom prst="rect">
                      <a:avLst/>
                    </a:prstGeom>
                    <a:noFill/>
                    <a:ln>
                      <a:noFill/>
                    </a:ln>
                  </pic:spPr>
                </pic:pic>
              </a:graphicData>
            </a:graphic>
          </wp:inline>
        </w:drawing>
      </w:r>
    </w:p>
    <w:p w:rsidR="001F606B" w:rsidRPr="00D36E68" w:rsidRDefault="001F606B" w:rsidP="00D36E68">
      <w:pPr>
        <w:pStyle w:val="Textoindependiente3"/>
        <w:tabs>
          <w:tab w:val="left" w:pos="284"/>
        </w:tabs>
        <w:spacing w:after="0" w:line="276" w:lineRule="auto"/>
        <w:ind w:left="709" w:right="1183"/>
        <w:jc w:val="both"/>
        <w:rPr>
          <w:rFonts w:cs="Arial"/>
          <w:i/>
          <w:iCs/>
          <w:sz w:val="20"/>
          <w:szCs w:val="20"/>
        </w:rPr>
      </w:pPr>
    </w:p>
    <w:p w:rsidR="006B56D9" w:rsidRPr="00D36E68" w:rsidRDefault="006B56D9" w:rsidP="00D36E68">
      <w:pPr>
        <w:pStyle w:val="Textoindependiente3"/>
        <w:tabs>
          <w:tab w:val="left" w:pos="284"/>
        </w:tabs>
        <w:spacing w:after="0" w:line="276" w:lineRule="auto"/>
        <w:ind w:left="709" w:right="1183"/>
        <w:jc w:val="both"/>
        <w:rPr>
          <w:rFonts w:cs="Arial"/>
          <w:i/>
          <w:iCs/>
          <w:sz w:val="20"/>
          <w:szCs w:val="20"/>
        </w:rPr>
      </w:pPr>
    </w:p>
    <w:p w:rsidR="00427096" w:rsidRPr="00D36E68" w:rsidRDefault="00427096" w:rsidP="00D36E68">
      <w:pPr>
        <w:pStyle w:val="Textoindependiente3"/>
        <w:numPr>
          <w:ilvl w:val="0"/>
          <w:numId w:val="1"/>
        </w:numPr>
        <w:tabs>
          <w:tab w:val="left" w:pos="284"/>
        </w:tabs>
        <w:spacing w:after="0" w:line="276" w:lineRule="auto"/>
        <w:ind w:left="0" w:firstLine="0"/>
        <w:jc w:val="both"/>
        <w:rPr>
          <w:rFonts w:cs="Arial"/>
          <w:sz w:val="20"/>
          <w:szCs w:val="20"/>
        </w:rPr>
      </w:pPr>
      <w:r w:rsidRPr="00D36E68">
        <w:rPr>
          <w:rFonts w:cs="Arial"/>
          <w:sz w:val="20"/>
          <w:szCs w:val="20"/>
        </w:rPr>
        <w:t xml:space="preserve">Miriam Guadalupe Herrera Segura, Directora de Planeación y Titular de la Unidad de Transparencia, a través de correo electrónico de fecha </w:t>
      </w:r>
      <w:r w:rsidR="00A730C5" w:rsidRPr="00D36E68">
        <w:rPr>
          <w:rFonts w:cs="Arial"/>
          <w:sz w:val="20"/>
          <w:szCs w:val="20"/>
        </w:rPr>
        <w:t>17</w:t>
      </w:r>
      <w:r w:rsidRPr="00D36E68">
        <w:rPr>
          <w:rFonts w:cs="Arial"/>
          <w:sz w:val="20"/>
          <w:szCs w:val="20"/>
        </w:rPr>
        <w:t xml:space="preserve"> de </w:t>
      </w:r>
      <w:r w:rsidR="00A730C5" w:rsidRPr="00D36E68">
        <w:rPr>
          <w:rFonts w:cs="Arial"/>
          <w:sz w:val="20"/>
          <w:szCs w:val="20"/>
        </w:rPr>
        <w:t>junio</w:t>
      </w:r>
      <w:r w:rsidRPr="00D36E68">
        <w:rPr>
          <w:rFonts w:cs="Arial"/>
          <w:sz w:val="20"/>
          <w:szCs w:val="20"/>
        </w:rPr>
        <w:t xml:space="preserve"> de 202</w:t>
      </w:r>
      <w:r w:rsidR="00066306" w:rsidRPr="00D36E68">
        <w:rPr>
          <w:rFonts w:cs="Arial"/>
          <w:sz w:val="20"/>
          <w:szCs w:val="20"/>
        </w:rPr>
        <w:t>5</w:t>
      </w:r>
      <w:r w:rsidR="00006207" w:rsidRPr="00D36E68">
        <w:rPr>
          <w:rFonts w:cs="Arial"/>
          <w:sz w:val="20"/>
          <w:szCs w:val="20"/>
        </w:rPr>
        <w:t xml:space="preserve">, </w:t>
      </w:r>
      <w:r w:rsidR="00AA671A" w:rsidRPr="00D36E68">
        <w:rPr>
          <w:rFonts w:cs="Arial"/>
          <w:sz w:val="20"/>
          <w:szCs w:val="20"/>
        </w:rPr>
        <w:t xml:space="preserve">envió </w:t>
      </w:r>
      <w:r w:rsidR="00066306" w:rsidRPr="00D36E68">
        <w:rPr>
          <w:rFonts w:cs="Arial"/>
          <w:sz w:val="20"/>
          <w:szCs w:val="20"/>
        </w:rPr>
        <w:t xml:space="preserve">a </w:t>
      </w:r>
      <w:r w:rsidR="00414BAE" w:rsidRPr="00D36E68">
        <w:rPr>
          <w:rFonts w:cs="Arial"/>
          <w:sz w:val="20"/>
          <w:szCs w:val="20"/>
        </w:rPr>
        <w:t xml:space="preserve">Cipriano Solís Badillo, </w:t>
      </w:r>
      <w:r w:rsidR="008C634D" w:rsidRPr="00D36E68">
        <w:rPr>
          <w:rFonts w:cs="Arial"/>
          <w:sz w:val="20"/>
          <w:szCs w:val="20"/>
        </w:rPr>
        <w:t>D</w:t>
      </w:r>
      <w:r w:rsidR="00414BAE" w:rsidRPr="00D36E68">
        <w:rPr>
          <w:rFonts w:cs="Arial"/>
          <w:sz w:val="20"/>
          <w:szCs w:val="20"/>
        </w:rPr>
        <w:t>irector de Administración, la resolución emitida al Recurso de Revisión RRA 1666/25</w:t>
      </w:r>
      <w:r w:rsidR="00356F81" w:rsidRPr="00D36E68">
        <w:rPr>
          <w:rFonts w:cs="Arial"/>
          <w:sz w:val="20"/>
          <w:szCs w:val="20"/>
        </w:rPr>
        <w:t xml:space="preserve">, con el propósito de dar cumplimiento a lo señalado en </w:t>
      </w:r>
      <w:r w:rsidR="008C634D" w:rsidRPr="00D36E68">
        <w:rPr>
          <w:rFonts w:cs="Arial"/>
          <w:sz w:val="20"/>
          <w:szCs w:val="20"/>
        </w:rPr>
        <w:t>dicho documento</w:t>
      </w:r>
      <w:r w:rsidR="00002969" w:rsidRPr="00D36E68">
        <w:rPr>
          <w:rFonts w:cs="Arial"/>
          <w:sz w:val="20"/>
          <w:szCs w:val="20"/>
        </w:rPr>
        <w:t xml:space="preserve"> y estar en posibilidad de convocar al Comité de Transparencia de este Instituto para la aprobación de las versiones públicas de </w:t>
      </w:r>
      <w:r w:rsidR="00D535C4" w:rsidRPr="00D36E68">
        <w:rPr>
          <w:rFonts w:cs="Arial"/>
          <w:sz w:val="20"/>
          <w:szCs w:val="20"/>
        </w:rPr>
        <w:t>los documentos que lo requieran.</w:t>
      </w:r>
    </w:p>
    <w:p w:rsidR="00A77885" w:rsidRPr="00D36E68" w:rsidRDefault="00A77885" w:rsidP="00D36E68">
      <w:pPr>
        <w:pStyle w:val="Textoindependiente3"/>
        <w:tabs>
          <w:tab w:val="left" w:pos="284"/>
        </w:tabs>
        <w:spacing w:after="0" w:line="276" w:lineRule="auto"/>
        <w:jc w:val="both"/>
        <w:rPr>
          <w:rFonts w:cs="Arial"/>
          <w:sz w:val="20"/>
          <w:szCs w:val="20"/>
        </w:rPr>
      </w:pPr>
    </w:p>
    <w:p w:rsidR="006B56D9" w:rsidRPr="00D36E68" w:rsidRDefault="006B56D9" w:rsidP="00D36E68">
      <w:pPr>
        <w:pStyle w:val="Textoindependiente3"/>
        <w:tabs>
          <w:tab w:val="left" w:pos="284"/>
        </w:tabs>
        <w:spacing w:after="0" w:line="276" w:lineRule="auto"/>
        <w:jc w:val="both"/>
        <w:rPr>
          <w:rFonts w:cs="Arial"/>
          <w:sz w:val="20"/>
          <w:szCs w:val="20"/>
        </w:rPr>
      </w:pPr>
    </w:p>
    <w:p w:rsidR="00427096" w:rsidRPr="00D36E68" w:rsidRDefault="00A77885" w:rsidP="00D36E68">
      <w:pPr>
        <w:spacing w:line="276" w:lineRule="auto"/>
        <w:jc w:val="both"/>
        <w:rPr>
          <w:rFonts w:ascii="Arial" w:eastAsia="Times New Roman" w:hAnsi="Arial" w:cs="Arial"/>
          <w:sz w:val="20"/>
          <w:szCs w:val="20"/>
          <w:lang w:val="es-ES_tradnl" w:eastAsia="es-ES"/>
        </w:rPr>
      </w:pPr>
      <w:r w:rsidRPr="00D36E68">
        <w:rPr>
          <w:rFonts w:ascii="Arial" w:eastAsia="Times New Roman" w:hAnsi="Arial" w:cs="Arial"/>
          <w:sz w:val="20"/>
          <w:szCs w:val="20"/>
          <w:lang w:val="es-ES_tradnl" w:eastAsia="es-ES"/>
        </w:rPr>
        <w:t>3</w:t>
      </w:r>
      <w:r w:rsidR="00427096" w:rsidRPr="00D36E68">
        <w:rPr>
          <w:rFonts w:ascii="Arial" w:eastAsia="Times New Roman" w:hAnsi="Arial" w:cs="Arial"/>
          <w:sz w:val="20"/>
          <w:szCs w:val="20"/>
          <w:lang w:val="es-ES_tradnl" w:eastAsia="es-ES"/>
        </w:rPr>
        <w:t xml:space="preserve">. </w:t>
      </w:r>
      <w:r w:rsidR="00E75A5B" w:rsidRPr="00D36E68">
        <w:rPr>
          <w:rFonts w:ascii="Arial" w:eastAsia="Times New Roman" w:hAnsi="Arial" w:cs="Arial"/>
          <w:sz w:val="20"/>
          <w:szCs w:val="20"/>
          <w:lang w:val="es-ES_tradnl" w:eastAsia="es-ES"/>
        </w:rPr>
        <w:t>Mediante</w:t>
      </w:r>
      <w:r w:rsidR="00006207" w:rsidRPr="00D36E68">
        <w:rPr>
          <w:rFonts w:ascii="Arial" w:eastAsia="Times New Roman" w:hAnsi="Arial" w:cs="Arial"/>
          <w:sz w:val="20"/>
          <w:szCs w:val="20"/>
          <w:lang w:val="es-ES_tradnl" w:eastAsia="es-ES"/>
        </w:rPr>
        <w:t xml:space="preserve"> correo electrónico de fecha </w:t>
      </w:r>
      <w:r w:rsidR="00337B7D" w:rsidRPr="00D36E68">
        <w:rPr>
          <w:rFonts w:ascii="Arial" w:eastAsia="Times New Roman" w:hAnsi="Arial" w:cs="Arial"/>
          <w:sz w:val="20"/>
          <w:szCs w:val="20"/>
          <w:lang w:val="es-ES_tradnl" w:eastAsia="es-ES"/>
        </w:rPr>
        <w:t>23</w:t>
      </w:r>
      <w:r w:rsidR="00006207" w:rsidRPr="00D36E68">
        <w:rPr>
          <w:rFonts w:ascii="Arial" w:eastAsia="Times New Roman" w:hAnsi="Arial" w:cs="Arial"/>
          <w:sz w:val="20"/>
          <w:szCs w:val="20"/>
          <w:lang w:val="es-ES_tradnl" w:eastAsia="es-ES"/>
        </w:rPr>
        <w:t xml:space="preserve"> de </w:t>
      </w:r>
      <w:r w:rsidR="00337B7D" w:rsidRPr="00D36E68">
        <w:rPr>
          <w:rFonts w:ascii="Arial" w:eastAsia="Times New Roman" w:hAnsi="Arial" w:cs="Arial"/>
          <w:sz w:val="20"/>
          <w:szCs w:val="20"/>
          <w:lang w:val="es-ES_tradnl" w:eastAsia="es-ES"/>
        </w:rPr>
        <w:t>junio</w:t>
      </w:r>
      <w:r w:rsidR="00427096" w:rsidRPr="00D36E68">
        <w:rPr>
          <w:rFonts w:ascii="Arial" w:eastAsia="Times New Roman" w:hAnsi="Arial" w:cs="Arial"/>
          <w:sz w:val="20"/>
          <w:szCs w:val="20"/>
          <w:lang w:val="es-ES_tradnl" w:eastAsia="es-ES"/>
        </w:rPr>
        <w:t xml:space="preserve"> del año en curso, </w:t>
      </w:r>
      <w:r w:rsidR="00337B7D" w:rsidRPr="00D36E68">
        <w:rPr>
          <w:rFonts w:ascii="Arial" w:hAnsi="Arial" w:cs="Arial"/>
          <w:sz w:val="20"/>
          <w:szCs w:val="20"/>
        </w:rPr>
        <w:t>Cipriano Solís Badillo, Direct</w:t>
      </w:r>
      <w:r w:rsidR="008D7D4A" w:rsidRPr="00D36E68">
        <w:rPr>
          <w:rFonts w:ascii="Arial" w:hAnsi="Arial" w:cs="Arial"/>
          <w:sz w:val="20"/>
          <w:szCs w:val="20"/>
        </w:rPr>
        <w:t>o</w:t>
      </w:r>
      <w:r w:rsidR="00337B7D" w:rsidRPr="00D36E68">
        <w:rPr>
          <w:rFonts w:ascii="Arial" w:hAnsi="Arial" w:cs="Arial"/>
          <w:sz w:val="20"/>
          <w:szCs w:val="20"/>
        </w:rPr>
        <w:t>r de Administración</w:t>
      </w:r>
      <w:r w:rsidR="008D7D4A" w:rsidRPr="00D36E68">
        <w:rPr>
          <w:rFonts w:ascii="Arial" w:hAnsi="Arial" w:cs="Arial"/>
          <w:sz w:val="20"/>
          <w:szCs w:val="20"/>
        </w:rPr>
        <w:t>,</w:t>
      </w:r>
      <w:r w:rsidR="00006207" w:rsidRPr="00D36E68">
        <w:rPr>
          <w:rFonts w:ascii="Arial" w:hAnsi="Arial" w:cs="Arial"/>
          <w:sz w:val="20"/>
          <w:szCs w:val="20"/>
        </w:rPr>
        <w:t xml:space="preserve"> </w:t>
      </w:r>
      <w:r w:rsidR="008D7D4A" w:rsidRPr="00D36E68">
        <w:rPr>
          <w:rFonts w:ascii="Arial" w:eastAsia="Times New Roman" w:hAnsi="Arial" w:cs="Arial"/>
          <w:sz w:val="20"/>
          <w:szCs w:val="20"/>
          <w:lang w:val="es-ES_tradnl" w:eastAsia="es-ES"/>
        </w:rPr>
        <w:t>informó que atendió los señalamientos</w:t>
      </w:r>
      <w:r w:rsidR="003800A1" w:rsidRPr="00D36E68">
        <w:rPr>
          <w:rFonts w:ascii="Arial" w:eastAsia="Times New Roman" w:hAnsi="Arial" w:cs="Arial"/>
          <w:sz w:val="20"/>
          <w:szCs w:val="20"/>
          <w:lang w:val="es-ES_tradnl" w:eastAsia="es-ES"/>
        </w:rPr>
        <w:t xml:space="preserve"> del recurso RRA 1666/25 y a través de </w:t>
      </w:r>
      <w:r w:rsidR="00D557E4" w:rsidRPr="00D36E68">
        <w:rPr>
          <w:rFonts w:ascii="Arial" w:eastAsia="Times New Roman" w:hAnsi="Arial" w:cs="Arial"/>
          <w:sz w:val="20"/>
          <w:szCs w:val="20"/>
          <w:lang w:val="es-ES_tradnl" w:eastAsia="es-ES"/>
        </w:rPr>
        <w:t>la</w:t>
      </w:r>
      <w:r w:rsidR="003800A1" w:rsidRPr="00D36E68">
        <w:rPr>
          <w:rFonts w:ascii="Arial" w:eastAsia="Times New Roman" w:hAnsi="Arial" w:cs="Arial"/>
          <w:sz w:val="20"/>
          <w:szCs w:val="20"/>
          <w:lang w:val="es-ES_tradnl" w:eastAsia="es-ES"/>
        </w:rPr>
        <w:t xml:space="preserve"> liga </w:t>
      </w:r>
      <w:hyperlink r:id="rId11" w:history="1">
        <w:r w:rsidR="00B82BFE" w:rsidRPr="00D36E68">
          <w:rPr>
            <w:rStyle w:val="Hipervnculo"/>
            <w:rFonts w:ascii="Arial" w:hAnsi="Arial" w:cs="Arial"/>
            <w:sz w:val="20"/>
            <w:szCs w:val="20"/>
          </w:rPr>
          <w:t>https://drive.google.com/drive/folders/1kQVBRQe5O9bDdzbPKJy-wnRz9X0mDV6T?usp=drive_link</w:t>
        </w:r>
      </w:hyperlink>
      <w:r w:rsidR="00B82BFE" w:rsidRPr="00D36E68">
        <w:rPr>
          <w:rFonts w:ascii="Arial" w:eastAsia="Times New Roman" w:hAnsi="Arial" w:cs="Arial"/>
          <w:sz w:val="20"/>
          <w:szCs w:val="20"/>
          <w:lang w:val="es-ES_tradnl" w:eastAsia="es-ES"/>
        </w:rPr>
        <w:t xml:space="preserve">, puso a </w:t>
      </w:r>
      <w:r w:rsidR="00FA1D7D" w:rsidRPr="00D36E68">
        <w:rPr>
          <w:rFonts w:ascii="Arial" w:eastAsia="Times New Roman" w:hAnsi="Arial" w:cs="Arial"/>
          <w:sz w:val="20"/>
          <w:szCs w:val="20"/>
          <w:lang w:val="es-ES_tradnl" w:eastAsia="es-ES"/>
        </w:rPr>
        <w:t xml:space="preserve">disposición </w:t>
      </w:r>
      <w:r w:rsidR="00B82BFE" w:rsidRPr="00D36E68">
        <w:rPr>
          <w:rFonts w:ascii="Arial" w:eastAsia="Times New Roman" w:hAnsi="Arial" w:cs="Arial"/>
          <w:sz w:val="20"/>
          <w:szCs w:val="20"/>
          <w:lang w:val="es-ES_tradnl" w:eastAsia="es-ES"/>
        </w:rPr>
        <w:t xml:space="preserve">la </w:t>
      </w:r>
      <w:r w:rsidR="00D557E4" w:rsidRPr="00D36E68">
        <w:rPr>
          <w:rFonts w:ascii="Arial" w:eastAsia="Times New Roman" w:hAnsi="Arial" w:cs="Arial"/>
          <w:sz w:val="20"/>
          <w:szCs w:val="20"/>
          <w:lang w:val="es-ES_tradnl" w:eastAsia="es-ES"/>
        </w:rPr>
        <w:t>c</w:t>
      </w:r>
      <w:r w:rsidR="00B82BFE" w:rsidRPr="00D36E68">
        <w:rPr>
          <w:rFonts w:ascii="Arial" w:eastAsia="Times New Roman" w:hAnsi="Arial" w:cs="Arial"/>
          <w:sz w:val="20"/>
          <w:szCs w:val="20"/>
          <w:lang w:val="es-ES_tradnl" w:eastAsia="es-ES"/>
        </w:rPr>
        <w:t>arpeta del proceso de designación del Titular de la Dirección General</w:t>
      </w:r>
      <w:r w:rsidR="00FA1D7D" w:rsidRPr="00D36E68">
        <w:rPr>
          <w:rFonts w:ascii="Arial" w:eastAsia="Times New Roman" w:hAnsi="Arial" w:cs="Arial"/>
          <w:sz w:val="20"/>
          <w:szCs w:val="20"/>
          <w:lang w:val="es-ES_tradnl" w:eastAsia="es-ES"/>
        </w:rPr>
        <w:t xml:space="preserve"> del Hospital Infantil de México Federico Gómez en versión simple y versión pública, con el fin de que sean aprobadas por el Comité de Transparencia</w:t>
      </w:r>
      <w:r w:rsidR="00C03792" w:rsidRPr="00D36E68">
        <w:rPr>
          <w:rFonts w:ascii="Arial" w:eastAsia="Times New Roman" w:hAnsi="Arial" w:cs="Arial"/>
          <w:sz w:val="20"/>
          <w:szCs w:val="20"/>
          <w:lang w:val="es-ES_tradnl" w:eastAsia="es-ES"/>
        </w:rPr>
        <w:t xml:space="preserve"> de este Instituto.</w:t>
      </w:r>
    </w:p>
    <w:p w:rsidR="001838CC" w:rsidRPr="00D36E68" w:rsidRDefault="001838CC" w:rsidP="00D36E68">
      <w:pPr>
        <w:spacing w:line="276" w:lineRule="auto"/>
        <w:rPr>
          <w:rFonts w:ascii="Arial" w:eastAsia="Times New Roman" w:hAnsi="Arial" w:cs="Arial"/>
          <w:sz w:val="20"/>
          <w:szCs w:val="20"/>
          <w:lang w:val="es-ES_tradnl" w:eastAsia="es-ES"/>
        </w:rPr>
      </w:pPr>
    </w:p>
    <w:p w:rsidR="006B56D9" w:rsidRPr="00D36E68" w:rsidRDefault="006B56D9" w:rsidP="00D36E68">
      <w:pPr>
        <w:spacing w:line="276" w:lineRule="auto"/>
        <w:rPr>
          <w:rFonts w:ascii="Arial" w:eastAsia="Times New Roman" w:hAnsi="Arial" w:cs="Arial"/>
          <w:sz w:val="20"/>
          <w:szCs w:val="20"/>
          <w:lang w:val="es-ES_tradnl" w:eastAsia="es-ES"/>
        </w:rPr>
      </w:pPr>
    </w:p>
    <w:p w:rsidR="001838CC" w:rsidRPr="00D36E68" w:rsidRDefault="001838CC" w:rsidP="00D36E68">
      <w:pPr>
        <w:spacing w:line="276" w:lineRule="auto"/>
        <w:jc w:val="both"/>
        <w:rPr>
          <w:rFonts w:ascii="Arial" w:hAnsi="Arial" w:cs="Arial"/>
          <w:sz w:val="20"/>
          <w:szCs w:val="20"/>
        </w:rPr>
      </w:pPr>
      <w:r w:rsidRPr="00D36E68">
        <w:rPr>
          <w:rFonts w:ascii="Arial" w:hAnsi="Arial" w:cs="Arial"/>
          <w:sz w:val="20"/>
          <w:szCs w:val="20"/>
        </w:rPr>
        <w:t xml:space="preserve">4. El día </w:t>
      </w:r>
      <w:r w:rsidR="00425AE0" w:rsidRPr="00D36E68">
        <w:rPr>
          <w:rFonts w:ascii="Arial" w:hAnsi="Arial" w:cs="Arial"/>
          <w:sz w:val="20"/>
          <w:szCs w:val="20"/>
        </w:rPr>
        <w:t>24</w:t>
      </w:r>
      <w:r w:rsidRPr="00D36E68">
        <w:rPr>
          <w:rFonts w:ascii="Arial" w:hAnsi="Arial" w:cs="Arial"/>
          <w:sz w:val="20"/>
          <w:szCs w:val="20"/>
        </w:rPr>
        <w:t xml:space="preserve"> de </w:t>
      </w:r>
      <w:r w:rsidR="00425AE0" w:rsidRPr="00D36E68">
        <w:rPr>
          <w:rFonts w:ascii="Arial" w:hAnsi="Arial" w:cs="Arial"/>
          <w:sz w:val="20"/>
          <w:szCs w:val="20"/>
        </w:rPr>
        <w:t>junio</w:t>
      </w:r>
      <w:r w:rsidRPr="00D36E68">
        <w:rPr>
          <w:rFonts w:ascii="Arial" w:hAnsi="Arial" w:cs="Arial"/>
          <w:sz w:val="20"/>
          <w:szCs w:val="20"/>
        </w:rPr>
        <w:t xml:space="preserve"> de 2025</w:t>
      </w:r>
      <w:r w:rsidR="00425AE0" w:rsidRPr="00D36E68">
        <w:rPr>
          <w:rFonts w:ascii="Arial" w:hAnsi="Arial" w:cs="Arial"/>
          <w:sz w:val="20"/>
          <w:szCs w:val="20"/>
        </w:rPr>
        <w:t xml:space="preserve">, </w:t>
      </w:r>
      <w:r w:rsidR="00A150BD" w:rsidRPr="00D36E68">
        <w:rPr>
          <w:rFonts w:ascii="Arial" w:hAnsi="Arial" w:cs="Arial"/>
          <w:sz w:val="20"/>
          <w:szCs w:val="20"/>
        </w:rPr>
        <w:t xml:space="preserve">María del Carmen Medina García, Subdirectora de Seguimiento Programático y Diseño Organizacional, en respuesta al correo descrito en el punto anterior, </w:t>
      </w:r>
      <w:r w:rsidR="00E87F69" w:rsidRPr="00D36E68">
        <w:rPr>
          <w:rFonts w:ascii="Arial" w:hAnsi="Arial" w:cs="Arial"/>
          <w:sz w:val="20"/>
          <w:szCs w:val="20"/>
        </w:rPr>
        <w:t xml:space="preserve">notificó a Cipriano Solís Badillo, Director de Administración, </w:t>
      </w:r>
      <w:r w:rsidR="008F150A" w:rsidRPr="00D36E68">
        <w:rPr>
          <w:rFonts w:ascii="Arial" w:hAnsi="Arial" w:cs="Arial"/>
          <w:sz w:val="20"/>
          <w:szCs w:val="20"/>
        </w:rPr>
        <w:t>sobre la</w:t>
      </w:r>
      <w:r w:rsidR="00E75A5B" w:rsidRPr="00D36E68">
        <w:rPr>
          <w:rFonts w:ascii="Arial" w:hAnsi="Arial" w:cs="Arial"/>
          <w:sz w:val="20"/>
          <w:szCs w:val="20"/>
        </w:rPr>
        <w:t xml:space="preserve">s diferencias </w:t>
      </w:r>
      <w:r w:rsidR="008F150A" w:rsidRPr="00D36E68">
        <w:rPr>
          <w:rFonts w:ascii="Arial" w:hAnsi="Arial" w:cs="Arial"/>
          <w:sz w:val="20"/>
          <w:szCs w:val="20"/>
        </w:rPr>
        <w:t>entre la versión íntegra y la versión pública de los documentos que serán</w:t>
      </w:r>
      <w:r w:rsidR="001B2CBE" w:rsidRPr="00D36E68">
        <w:rPr>
          <w:rFonts w:ascii="Arial" w:hAnsi="Arial" w:cs="Arial"/>
          <w:sz w:val="20"/>
          <w:szCs w:val="20"/>
        </w:rPr>
        <w:t xml:space="preserve"> sometidos</w:t>
      </w:r>
      <w:r w:rsidR="00D33492" w:rsidRPr="00D36E68">
        <w:rPr>
          <w:rFonts w:ascii="Arial" w:hAnsi="Arial" w:cs="Arial"/>
          <w:sz w:val="20"/>
          <w:szCs w:val="20"/>
        </w:rPr>
        <w:t xml:space="preserve"> para aprobación del Comité de Transparencia</w:t>
      </w:r>
      <w:r w:rsidR="000B1760" w:rsidRPr="00D36E68">
        <w:rPr>
          <w:rFonts w:ascii="Arial" w:hAnsi="Arial" w:cs="Arial"/>
          <w:sz w:val="20"/>
          <w:szCs w:val="20"/>
        </w:rPr>
        <w:t xml:space="preserve">, solicitando su revisión y </w:t>
      </w:r>
      <w:r w:rsidR="0057584C" w:rsidRPr="00D36E68">
        <w:rPr>
          <w:rFonts w:ascii="Arial" w:hAnsi="Arial" w:cs="Arial"/>
          <w:sz w:val="20"/>
          <w:szCs w:val="20"/>
        </w:rPr>
        <w:t xml:space="preserve">nuevo </w:t>
      </w:r>
      <w:r w:rsidR="000B1760" w:rsidRPr="00D36E68">
        <w:rPr>
          <w:rFonts w:ascii="Arial" w:hAnsi="Arial" w:cs="Arial"/>
          <w:sz w:val="20"/>
          <w:szCs w:val="20"/>
        </w:rPr>
        <w:t>envío de manera urgente.</w:t>
      </w:r>
    </w:p>
    <w:p w:rsidR="008F150A" w:rsidRPr="00D36E68" w:rsidRDefault="008F150A" w:rsidP="00D36E68">
      <w:pPr>
        <w:spacing w:line="276" w:lineRule="auto"/>
        <w:jc w:val="both"/>
        <w:rPr>
          <w:rFonts w:ascii="Arial" w:hAnsi="Arial" w:cs="Arial"/>
          <w:sz w:val="20"/>
          <w:szCs w:val="20"/>
        </w:rPr>
      </w:pPr>
    </w:p>
    <w:p w:rsidR="006B56D9" w:rsidRPr="00D36E68" w:rsidRDefault="006B56D9" w:rsidP="00D36E68">
      <w:pPr>
        <w:spacing w:line="276" w:lineRule="auto"/>
        <w:jc w:val="both"/>
        <w:rPr>
          <w:rFonts w:ascii="Arial" w:hAnsi="Arial" w:cs="Arial"/>
          <w:sz w:val="20"/>
          <w:szCs w:val="20"/>
        </w:rPr>
      </w:pPr>
    </w:p>
    <w:p w:rsidR="008F150A" w:rsidRPr="00D36E68" w:rsidRDefault="008F150A" w:rsidP="00D36E68">
      <w:pPr>
        <w:spacing w:line="276" w:lineRule="auto"/>
        <w:jc w:val="both"/>
        <w:rPr>
          <w:rFonts w:ascii="Arial" w:hAnsi="Arial" w:cs="Arial"/>
          <w:sz w:val="20"/>
          <w:szCs w:val="20"/>
        </w:rPr>
      </w:pPr>
      <w:r w:rsidRPr="00D36E68">
        <w:rPr>
          <w:rFonts w:ascii="Arial" w:hAnsi="Arial" w:cs="Arial"/>
          <w:sz w:val="20"/>
          <w:szCs w:val="20"/>
        </w:rPr>
        <w:lastRenderedPageBreak/>
        <w:t xml:space="preserve">5. </w:t>
      </w:r>
      <w:r w:rsidR="004C307B" w:rsidRPr="00D36E68">
        <w:rPr>
          <w:rFonts w:ascii="Arial" w:hAnsi="Arial" w:cs="Arial"/>
          <w:sz w:val="20"/>
          <w:szCs w:val="20"/>
        </w:rPr>
        <w:t>El mismo día 24 de junio</w:t>
      </w:r>
      <w:r w:rsidR="00E75A5B" w:rsidRPr="00D36E68">
        <w:rPr>
          <w:rFonts w:ascii="Arial" w:hAnsi="Arial" w:cs="Arial"/>
          <w:sz w:val="20"/>
          <w:szCs w:val="20"/>
        </w:rPr>
        <w:t xml:space="preserve"> de 2025</w:t>
      </w:r>
      <w:r w:rsidR="004C307B" w:rsidRPr="00D36E68">
        <w:rPr>
          <w:rFonts w:ascii="Arial" w:hAnsi="Arial" w:cs="Arial"/>
          <w:sz w:val="20"/>
          <w:szCs w:val="20"/>
        </w:rPr>
        <w:t>, en correo</w:t>
      </w:r>
      <w:r w:rsidR="00E75A5B" w:rsidRPr="00D36E68">
        <w:rPr>
          <w:rFonts w:ascii="Arial" w:hAnsi="Arial" w:cs="Arial"/>
          <w:sz w:val="20"/>
          <w:szCs w:val="20"/>
        </w:rPr>
        <w:t xml:space="preserve"> electrónico</w:t>
      </w:r>
      <w:r w:rsidR="004C307B" w:rsidRPr="00D36E68">
        <w:rPr>
          <w:rFonts w:ascii="Arial" w:hAnsi="Arial" w:cs="Arial"/>
          <w:sz w:val="20"/>
          <w:szCs w:val="20"/>
        </w:rPr>
        <w:t xml:space="preserve"> dirigido a María del Carmen Medina García, Subdirectora de Seguimiento Programático y Diseño Organizacional, </w:t>
      </w:r>
      <w:r w:rsidR="00EF25A3" w:rsidRPr="00D36E68">
        <w:rPr>
          <w:rFonts w:ascii="Arial" w:hAnsi="Arial" w:cs="Arial"/>
          <w:sz w:val="20"/>
          <w:szCs w:val="20"/>
        </w:rPr>
        <w:t xml:space="preserve">el Director de Administración , Cipriano Solís Badillo, notificó que </w:t>
      </w:r>
      <w:r w:rsidR="00B27F1B" w:rsidRPr="00D36E68">
        <w:rPr>
          <w:rFonts w:ascii="Arial" w:hAnsi="Arial" w:cs="Arial"/>
          <w:sz w:val="20"/>
          <w:szCs w:val="20"/>
        </w:rPr>
        <w:t>después de revisar los documentos previamente enviados</w:t>
      </w:r>
      <w:r w:rsidR="0032703E" w:rsidRPr="00D36E68">
        <w:rPr>
          <w:rFonts w:ascii="Arial" w:hAnsi="Arial" w:cs="Arial"/>
          <w:sz w:val="20"/>
          <w:szCs w:val="20"/>
        </w:rPr>
        <w:t>, la versión íntegra y la versión pública</w:t>
      </w:r>
      <w:r w:rsidR="0026656A" w:rsidRPr="00D36E68">
        <w:rPr>
          <w:rFonts w:ascii="Arial" w:hAnsi="Arial" w:cs="Arial"/>
          <w:sz w:val="20"/>
          <w:szCs w:val="20"/>
        </w:rPr>
        <w:t xml:space="preserve"> se encuentran en el drive </w:t>
      </w:r>
      <w:hyperlink r:id="rId12" w:history="1">
        <w:r w:rsidR="0026656A" w:rsidRPr="00D36E68">
          <w:rPr>
            <w:rStyle w:val="Hipervnculo"/>
            <w:rFonts w:ascii="Arial" w:hAnsi="Arial" w:cs="Arial"/>
            <w:sz w:val="20"/>
            <w:szCs w:val="20"/>
          </w:rPr>
          <w:t>https://drive.google.com/drive/folders/1kQVBRQe5O9bDdzbPKJy-wnRz9X0mDV6T?usp=drive_link</w:t>
        </w:r>
      </w:hyperlink>
      <w:r w:rsidR="0026656A" w:rsidRPr="00D36E68">
        <w:rPr>
          <w:rFonts w:ascii="Arial" w:hAnsi="Arial" w:cs="Arial"/>
          <w:sz w:val="20"/>
          <w:szCs w:val="20"/>
        </w:rPr>
        <w:t xml:space="preserve"> para la aprobación del Comité de Transparencia.</w:t>
      </w:r>
    </w:p>
    <w:p w:rsidR="00035D4A" w:rsidRPr="00D36E68" w:rsidRDefault="00035D4A" w:rsidP="00D36E68">
      <w:pPr>
        <w:spacing w:line="276" w:lineRule="auto"/>
        <w:jc w:val="both"/>
        <w:rPr>
          <w:rFonts w:ascii="Arial" w:hAnsi="Arial" w:cs="Arial"/>
          <w:sz w:val="20"/>
          <w:szCs w:val="20"/>
        </w:rPr>
      </w:pPr>
    </w:p>
    <w:p w:rsidR="004A33B9" w:rsidRPr="00D36E68" w:rsidRDefault="004A33B9" w:rsidP="00D36E68">
      <w:pPr>
        <w:spacing w:line="276" w:lineRule="auto"/>
        <w:rPr>
          <w:rFonts w:ascii="Arial" w:hAnsi="Arial" w:cs="Arial"/>
          <w:sz w:val="20"/>
          <w:szCs w:val="20"/>
        </w:rPr>
      </w:pPr>
    </w:p>
    <w:p w:rsidR="00427096" w:rsidRPr="00D36E68" w:rsidRDefault="00427096" w:rsidP="00D36E68">
      <w:pPr>
        <w:spacing w:line="276" w:lineRule="auto"/>
        <w:rPr>
          <w:rFonts w:ascii="Arial" w:hAnsi="Arial" w:cs="Arial"/>
          <w:sz w:val="20"/>
          <w:szCs w:val="20"/>
        </w:rPr>
      </w:pPr>
      <w:r w:rsidRPr="00D36E68">
        <w:rPr>
          <w:rFonts w:ascii="Arial" w:hAnsi="Arial" w:cs="Arial"/>
          <w:sz w:val="20"/>
          <w:szCs w:val="20"/>
        </w:rPr>
        <w:t>---------------------------</w:t>
      </w:r>
      <w:r w:rsidR="00A070FB" w:rsidRPr="00D36E68">
        <w:rPr>
          <w:rFonts w:ascii="Arial" w:hAnsi="Arial" w:cs="Arial"/>
          <w:sz w:val="20"/>
          <w:szCs w:val="20"/>
        </w:rPr>
        <w:t>--</w:t>
      </w:r>
      <w:r w:rsidRPr="00D36E68">
        <w:rPr>
          <w:rFonts w:ascii="Arial" w:hAnsi="Arial" w:cs="Arial"/>
          <w:sz w:val="20"/>
          <w:szCs w:val="20"/>
        </w:rPr>
        <w:t>-----------------C O N S I D E R A N D OS--------------</w:t>
      </w:r>
      <w:r w:rsidR="008E4B2D" w:rsidRPr="00D36E68">
        <w:rPr>
          <w:rFonts w:ascii="Arial" w:hAnsi="Arial" w:cs="Arial"/>
          <w:sz w:val="20"/>
          <w:szCs w:val="20"/>
        </w:rPr>
        <w:t>-------------</w:t>
      </w:r>
      <w:r w:rsidR="00A070FB" w:rsidRPr="00D36E68">
        <w:rPr>
          <w:rFonts w:ascii="Arial" w:hAnsi="Arial" w:cs="Arial"/>
          <w:sz w:val="20"/>
          <w:szCs w:val="20"/>
        </w:rPr>
        <w:t>-</w:t>
      </w:r>
      <w:r w:rsidR="008E4B2D" w:rsidRPr="00D36E68">
        <w:rPr>
          <w:rFonts w:ascii="Arial" w:hAnsi="Arial" w:cs="Arial"/>
          <w:sz w:val="20"/>
          <w:szCs w:val="20"/>
        </w:rPr>
        <w:t>-------------</w:t>
      </w:r>
    </w:p>
    <w:p w:rsidR="004A33B9" w:rsidRPr="00D36E68" w:rsidRDefault="004A33B9" w:rsidP="00D36E68">
      <w:pPr>
        <w:spacing w:line="276" w:lineRule="auto"/>
        <w:jc w:val="both"/>
        <w:rPr>
          <w:rFonts w:ascii="Arial" w:hAnsi="Arial" w:cs="Arial"/>
          <w:sz w:val="20"/>
          <w:szCs w:val="20"/>
        </w:rPr>
      </w:pPr>
    </w:p>
    <w:p w:rsidR="004A33B9" w:rsidRPr="00D36E68" w:rsidRDefault="004A33B9" w:rsidP="00D36E68">
      <w:pPr>
        <w:spacing w:line="276" w:lineRule="auto"/>
        <w:jc w:val="both"/>
        <w:rPr>
          <w:rFonts w:ascii="Arial" w:hAnsi="Arial" w:cs="Arial"/>
          <w:sz w:val="20"/>
          <w:szCs w:val="20"/>
        </w:rPr>
      </w:pPr>
    </w:p>
    <w:p w:rsidR="00427096" w:rsidRPr="00D36E68" w:rsidRDefault="00427096" w:rsidP="00D36E68">
      <w:pPr>
        <w:pStyle w:val="Textoindependiente3"/>
        <w:tabs>
          <w:tab w:val="left" w:pos="284"/>
        </w:tabs>
        <w:spacing w:after="0" w:line="276" w:lineRule="auto"/>
        <w:jc w:val="both"/>
        <w:rPr>
          <w:rFonts w:cs="Arial"/>
          <w:sz w:val="20"/>
          <w:szCs w:val="20"/>
        </w:rPr>
      </w:pPr>
      <w:r w:rsidRPr="00D36E68">
        <w:rPr>
          <w:rFonts w:cs="Arial"/>
          <w:b/>
          <w:sz w:val="20"/>
          <w:szCs w:val="20"/>
        </w:rPr>
        <w:t>PRIMERO.</w:t>
      </w:r>
      <w:r w:rsidRPr="00D36E68">
        <w:rPr>
          <w:rFonts w:cs="Arial"/>
          <w:sz w:val="20"/>
          <w:szCs w:val="20"/>
        </w:rPr>
        <w:t xml:space="preserve"> En términos de la Ley </w:t>
      </w:r>
      <w:r w:rsidR="001B139A" w:rsidRPr="00D36E68">
        <w:rPr>
          <w:rFonts w:cs="Arial"/>
          <w:sz w:val="20"/>
          <w:szCs w:val="20"/>
        </w:rPr>
        <w:t xml:space="preserve">General </w:t>
      </w:r>
      <w:r w:rsidRPr="00D36E68">
        <w:rPr>
          <w:rFonts w:cs="Arial"/>
          <w:sz w:val="20"/>
          <w:szCs w:val="20"/>
        </w:rPr>
        <w:t xml:space="preserve">de Transparencia y Acceso a la Información Pública, la Unidad de Transparencia del Hospital Infantil de México Federico Gómez, tiene las funciones </w:t>
      </w:r>
      <w:r w:rsidR="00EA74BD" w:rsidRPr="00D36E68">
        <w:rPr>
          <w:rFonts w:cs="Arial"/>
          <w:sz w:val="20"/>
          <w:szCs w:val="20"/>
        </w:rPr>
        <w:t>que se señalan en el Artículo 41</w:t>
      </w:r>
      <w:r w:rsidRPr="00D36E68">
        <w:rPr>
          <w:rFonts w:cs="Arial"/>
          <w:sz w:val="20"/>
          <w:szCs w:val="20"/>
        </w:rPr>
        <w:t xml:space="preserve"> de dicha Ley, así como la de recibir y dar trámite a las solicitudes de acceso a la información referidas en los artículos </w:t>
      </w:r>
      <w:r w:rsidR="00E75A5B" w:rsidRPr="00D36E68">
        <w:rPr>
          <w:rFonts w:cs="Arial"/>
          <w:sz w:val="20"/>
          <w:szCs w:val="20"/>
        </w:rPr>
        <w:t xml:space="preserve">del </w:t>
      </w:r>
      <w:r w:rsidRPr="00D36E68">
        <w:rPr>
          <w:rFonts w:cs="Arial"/>
          <w:sz w:val="20"/>
          <w:szCs w:val="20"/>
        </w:rPr>
        <w:t>12</w:t>
      </w:r>
      <w:r w:rsidR="001765CD" w:rsidRPr="00D36E68">
        <w:rPr>
          <w:rFonts w:cs="Arial"/>
          <w:sz w:val="20"/>
          <w:szCs w:val="20"/>
        </w:rPr>
        <w:t>3</w:t>
      </w:r>
      <w:r w:rsidRPr="00D36E68">
        <w:rPr>
          <w:rFonts w:cs="Arial"/>
          <w:sz w:val="20"/>
          <w:szCs w:val="20"/>
        </w:rPr>
        <w:t xml:space="preserve"> al 14</w:t>
      </w:r>
      <w:r w:rsidR="001765CD" w:rsidRPr="00D36E68">
        <w:rPr>
          <w:rFonts w:cs="Arial"/>
          <w:sz w:val="20"/>
          <w:szCs w:val="20"/>
        </w:rPr>
        <w:t>2</w:t>
      </w:r>
      <w:r w:rsidRPr="00D36E68">
        <w:rPr>
          <w:rFonts w:cs="Arial"/>
          <w:sz w:val="20"/>
          <w:szCs w:val="20"/>
        </w:rPr>
        <w:t xml:space="preserve"> las cuales son las necesarias para garantizar y agilizar el flujo de información entre este Instituto y los particulares.</w:t>
      </w:r>
    </w:p>
    <w:p w:rsidR="00427096" w:rsidRPr="00D36E68" w:rsidRDefault="00427096" w:rsidP="00D36E68">
      <w:pPr>
        <w:pStyle w:val="Textoindependiente3"/>
        <w:tabs>
          <w:tab w:val="left" w:pos="284"/>
        </w:tabs>
        <w:spacing w:after="0" w:line="276" w:lineRule="auto"/>
        <w:jc w:val="both"/>
        <w:rPr>
          <w:rFonts w:cs="Arial"/>
          <w:sz w:val="20"/>
          <w:szCs w:val="20"/>
        </w:rPr>
      </w:pPr>
    </w:p>
    <w:p w:rsidR="006B56D9" w:rsidRPr="00D36E68" w:rsidRDefault="006B56D9" w:rsidP="00D36E68">
      <w:pPr>
        <w:pStyle w:val="Textoindependiente3"/>
        <w:tabs>
          <w:tab w:val="left" w:pos="284"/>
        </w:tabs>
        <w:spacing w:after="0" w:line="276" w:lineRule="auto"/>
        <w:jc w:val="both"/>
        <w:rPr>
          <w:rFonts w:cs="Arial"/>
          <w:sz w:val="20"/>
          <w:szCs w:val="20"/>
        </w:rPr>
      </w:pPr>
    </w:p>
    <w:p w:rsidR="00427096" w:rsidRPr="00D36E68" w:rsidRDefault="00427096" w:rsidP="00D36E68">
      <w:pPr>
        <w:pStyle w:val="Textoindependiente3"/>
        <w:tabs>
          <w:tab w:val="left" w:pos="284"/>
        </w:tabs>
        <w:spacing w:after="0" w:line="276" w:lineRule="auto"/>
        <w:jc w:val="both"/>
        <w:rPr>
          <w:rFonts w:cs="Arial"/>
          <w:sz w:val="20"/>
          <w:szCs w:val="20"/>
        </w:rPr>
      </w:pPr>
      <w:r w:rsidRPr="00D36E68">
        <w:rPr>
          <w:rFonts w:cs="Arial"/>
          <w:b/>
          <w:sz w:val="20"/>
          <w:szCs w:val="20"/>
        </w:rPr>
        <w:t>SEGUNDO.</w:t>
      </w:r>
      <w:r w:rsidRPr="00D36E68">
        <w:rPr>
          <w:rFonts w:cs="Arial"/>
          <w:sz w:val="20"/>
          <w:szCs w:val="20"/>
        </w:rPr>
        <w:t xml:space="preserve"> De conformidad con lo dispuesto en el artículo </w:t>
      </w:r>
      <w:r w:rsidR="008015CD" w:rsidRPr="00D36E68">
        <w:rPr>
          <w:rFonts w:cs="Arial"/>
          <w:sz w:val="20"/>
          <w:szCs w:val="20"/>
        </w:rPr>
        <w:t>40 y</w:t>
      </w:r>
      <w:r w:rsidR="00986929" w:rsidRPr="00D36E68">
        <w:rPr>
          <w:rFonts w:cs="Arial"/>
          <w:sz w:val="20"/>
          <w:szCs w:val="20"/>
        </w:rPr>
        <w:t xml:space="preserve"> 139</w:t>
      </w:r>
      <w:r w:rsidRPr="00D36E68">
        <w:rPr>
          <w:rFonts w:cs="Arial"/>
          <w:sz w:val="20"/>
          <w:szCs w:val="20"/>
        </w:rPr>
        <w:t xml:space="preserve"> de la Ley </w:t>
      </w:r>
      <w:r w:rsidR="001765CD" w:rsidRPr="00D36E68">
        <w:rPr>
          <w:rFonts w:cs="Arial"/>
          <w:sz w:val="20"/>
          <w:szCs w:val="20"/>
        </w:rPr>
        <w:t>General</w:t>
      </w:r>
      <w:r w:rsidRPr="00D36E68">
        <w:rPr>
          <w:rFonts w:cs="Arial"/>
          <w:sz w:val="20"/>
          <w:szCs w:val="20"/>
        </w:rPr>
        <w:t xml:space="preserve"> de Transparencia y Acceso a la Información Pública, este Comité de Transparencia, es competente para conocer y resolver sobre la </w:t>
      </w:r>
      <w:r w:rsidR="00C4307A" w:rsidRPr="00D36E68">
        <w:rPr>
          <w:rFonts w:cs="Arial"/>
          <w:sz w:val="20"/>
          <w:szCs w:val="20"/>
        </w:rPr>
        <w:t>resolución</w:t>
      </w:r>
      <w:r w:rsidRPr="00D36E68">
        <w:rPr>
          <w:rFonts w:cs="Arial"/>
          <w:sz w:val="20"/>
          <w:szCs w:val="20"/>
        </w:rPr>
        <w:t>.</w:t>
      </w:r>
    </w:p>
    <w:p w:rsidR="00427096" w:rsidRPr="00D36E68" w:rsidRDefault="00427096" w:rsidP="00D36E68">
      <w:pPr>
        <w:pStyle w:val="Textoindependiente3"/>
        <w:tabs>
          <w:tab w:val="left" w:pos="284"/>
        </w:tabs>
        <w:spacing w:after="0" w:line="276" w:lineRule="auto"/>
        <w:jc w:val="both"/>
        <w:rPr>
          <w:rFonts w:cs="Arial"/>
          <w:sz w:val="20"/>
          <w:szCs w:val="20"/>
        </w:rPr>
      </w:pPr>
    </w:p>
    <w:p w:rsidR="006B56D9" w:rsidRPr="00D36E68" w:rsidRDefault="006B56D9" w:rsidP="00D36E68">
      <w:pPr>
        <w:pStyle w:val="Textoindependiente3"/>
        <w:tabs>
          <w:tab w:val="left" w:pos="284"/>
        </w:tabs>
        <w:spacing w:after="0" w:line="276" w:lineRule="auto"/>
        <w:jc w:val="both"/>
        <w:rPr>
          <w:rFonts w:cs="Arial"/>
          <w:sz w:val="20"/>
          <w:szCs w:val="20"/>
        </w:rPr>
      </w:pPr>
    </w:p>
    <w:p w:rsidR="00427096" w:rsidRPr="00D36E68" w:rsidRDefault="007466C5" w:rsidP="00D36E68">
      <w:pPr>
        <w:pStyle w:val="Textoindependiente3"/>
        <w:tabs>
          <w:tab w:val="left" w:pos="284"/>
        </w:tabs>
        <w:spacing w:after="0" w:line="276" w:lineRule="auto"/>
        <w:jc w:val="both"/>
        <w:rPr>
          <w:rFonts w:cs="Arial"/>
          <w:sz w:val="20"/>
          <w:szCs w:val="20"/>
        </w:rPr>
      </w:pPr>
      <w:r w:rsidRPr="00D36E68">
        <w:rPr>
          <w:rFonts w:cs="Arial"/>
          <w:b/>
          <w:sz w:val="20"/>
          <w:szCs w:val="20"/>
        </w:rPr>
        <w:t>TERCERO</w:t>
      </w:r>
      <w:r w:rsidR="00427096" w:rsidRPr="00D36E68">
        <w:rPr>
          <w:rFonts w:cs="Arial"/>
          <w:sz w:val="20"/>
          <w:szCs w:val="20"/>
        </w:rPr>
        <w:t xml:space="preserve">. Miriam Guadalupe Herrera Segura, Directora de Planeación y Titular de la Unidad de Transparencia realizó las gestiones al interior de la Institución en específico, con </w:t>
      </w:r>
      <w:r w:rsidR="00600EC7" w:rsidRPr="00D36E68">
        <w:rPr>
          <w:rFonts w:cs="Arial"/>
          <w:sz w:val="20"/>
          <w:szCs w:val="20"/>
        </w:rPr>
        <w:t>Cipriano Solís Badillo, Director de Administración</w:t>
      </w:r>
      <w:r w:rsidR="00427096" w:rsidRPr="00D36E68">
        <w:rPr>
          <w:rFonts w:cs="Arial"/>
          <w:sz w:val="20"/>
          <w:szCs w:val="20"/>
        </w:rPr>
        <w:t xml:space="preserve">, a fin de </w:t>
      </w:r>
      <w:r w:rsidR="00600EC7" w:rsidRPr="00D36E68">
        <w:rPr>
          <w:rFonts w:cs="Arial"/>
          <w:sz w:val="20"/>
          <w:szCs w:val="20"/>
        </w:rPr>
        <w:t xml:space="preserve">dar cumplimiento a la resolución al recurso </w:t>
      </w:r>
      <w:r w:rsidR="00E75A5B" w:rsidRPr="00D36E68">
        <w:rPr>
          <w:rFonts w:cs="Arial"/>
          <w:sz w:val="20"/>
          <w:szCs w:val="20"/>
        </w:rPr>
        <w:t xml:space="preserve">de revisión </w:t>
      </w:r>
      <w:r w:rsidR="00600EC7" w:rsidRPr="00D36E68">
        <w:rPr>
          <w:rFonts w:cs="Arial"/>
          <w:sz w:val="20"/>
          <w:szCs w:val="20"/>
        </w:rPr>
        <w:t>RRA 1666/25</w:t>
      </w:r>
      <w:r w:rsidR="00427096" w:rsidRPr="00D36E68">
        <w:rPr>
          <w:rFonts w:cs="Arial"/>
          <w:sz w:val="20"/>
          <w:szCs w:val="20"/>
        </w:rPr>
        <w:t>.</w:t>
      </w:r>
    </w:p>
    <w:p w:rsidR="00427096" w:rsidRPr="00D36E68" w:rsidRDefault="00427096" w:rsidP="00D36E68">
      <w:pPr>
        <w:pStyle w:val="Textoindependiente3"/>
        <w:tabs>
          <w:tab w:val="left" w:pos="284"/>
        </w:tabs>
        <w:spacing w:after="0" w:line="276" w:lineRule="auto"/>
        <w:jc w:val="both"/>
        <w:rPr>
          <w:rFonts w:cs="Arial"/>
          <w:sz w:val="20"/>
          <w:szCs w:val="20"/>
        </w:rPr>
      </w:pPr>
    </w:p>
    <w:p w:rsidR="006B56D9" w:rsidRPr="00D36E68" w:rsidRDefault="006B56D9" w:rsidP="00D36E68">
      <w:pPr>
        <w:pStyle w:val="Textoindependiente3"/>
        <w:tabs>
          <w:tab w:val="left" w:pos="284"/>
        </w:tabs>
        <w:spacing w:after="0" w:line="276" w:lineRule="auto"/>
        <w:jc w:val="both"/>
        <w:rPr>
          <w:rFonts w:cs="Arial"/>
          <w:sz w:val="20"/>
          <w:szCs w:val="20"/>
        </w:rPr>
      </w:pPr>
    </w:p>
    <w:p w:rsidR="00427096" w:rsidRPr="00D36E68" w:rsidRDefault="0013785D" w:rsidP="00D36E68">
      <w:pPr>
        <w:spacing w:line="276" w:lineRule="auto"/>
        <w:ind w:right="49"/>
        <w:jc w:val="both"/>
        <w:rPr>
          <w:rFonts w:ascii="Arial" w:eastAsia="Times New Roman" w:hAnsi="Arial" w:cs="Arial"/>
          <w:sz w:val="20"/>
          <w:szCs w:val="20"/>
          <w:lang w:val="es-ES_tradnl" w:eastAsia="es-ES"/>
        </w:rPr>
      </w:pPr>
      <w:r w:rsidRPr="00D36E68">
        <w:rPr>
          <w:rFonts w:ascii="Arial" w:hAnsi="Arial" w:cs="Arial"/>
          <w:b/>
          <w:sz w:val="20"/>
          <w:szCs w:val="20"/>
        </w:rPr>
        <w:t>CUARTO</w:t>
      </w:r>
      <w:r w:rsidR="00427096" w:rsidRPr="00D36E68">
        <w:rPr>
          <w:rFonts w:ascii="Arial" w:hAnsi="Arial" w:cs="Arial"/>
          <w:sz w:val="20"/>
          <w:szCs w:val="20"/>
        </w:rPr>
        <w:t xml:space="preserve">. </w:t>
      </w:r>
      <w:r w:rsidR="00320367" w:rsidRPr="00D36E68">
        <w:rPr>
          <w:rFonts w:ascii="Arial" w:eastAsia="Times New Roman" w:hAnsi="Arial" w:cs="Arial"/>
          <w:sz w:val="20"/>
          <w:szCs w:val="20"/>
          <w:lang w:val="es-ES_tradnl" w:eastAsia="es-ES"/>
        </w:rPr>
        <w:t>Cipriano Solís Badillo</w:t>
      </w:r>
      <w:r w:rsidR="008907BF" w:rsidRPr="00D36E68">
        <w:rPr>
          <w:rFonts w:ascii="Arial" w:eastAsia="Times New Roman" w:hAnsi="Arial" w:cs="Arial"/>
          <w:sz w:val="20"/>
          <w:szCs w:val="20"/>
          <w:lang w:val="es-ES_tradnl" w:eastAsia="es-ES"/>
        </w:rPr>
        <w:t xml:space="preserve">, </w:t>
      </w:r>
      <w:r w:rsidR="00427096" w:rsidRPr="00D36E68">
        <w:rPr>
          <w:rFonts w:ascii="Arial" w:eastAsia="Times New Roman" w:hAnsi="Arial" w:cs="Arial"/>
          <w:sz w:val="20"/>
          <w:szCs w:val="20"/>
          <w:lang w:val="es-ES_tradnl" w:eastAsia="es-ES"/>
        </w:rPr>
        <w:t xml:space="preserve">hizo llegar </w:t>
      </w:r>
      <w:r w:rsidR="00CC4416" w:rsidRPr="00D36E68">
        <w:rPr>
          <w:rFonts w:ascii="Arial" w:eastAsia="Times New Roman" w:hAnsi="Arial" w:cs="Arial"/>
          <w:sz w:val="20"/>
          <w:szCs w:val="20"/>
          <w:lang w:val="es-ES_tradnl" w:eastAsia="es-ES"/>
        </w:rPr>
        <w:t>la liga del enlace que contiene la versión íntegra y testada</w:t>
      </w:r>
      <w:r w:rsidR="008A0A04" w:rsidRPr="00D36E68">
        <w:rPr>
          <w:rFonts w:ascii="Arial" w:eastAsia="Times New Roman" w:hAnsi="Arial" w:cs="Arial"/>
          <w:sz w:val="20"/>
          <w:szCs w:val="20"/>
          <w:lang w:val="es-ES_tradnl" w:eastAsia="es-ES"/>
        </w:rPr>
        <w:t xml:space="preserve"> </w:t>
      </w:r>
      <w:r w:rsidR="00572297" w:rsidRPr="00D36E68">
        <w:rPr>
          <w:rFonts w:ascii="Arial" w:eastAsia="Times New Roman" w:hAnsi="Arial" w:cs="Arial"/>
          <w:sz w:val="20"/>
          <w:szCs w:val="20"/>
          <w:lang w:val="es-ES_tradnl" w:eastAsia="es-ES"/>
        </w:rPr>
        <w:t>de los documentos en formato electrónico</w:t>
      </w:r>
      <w:r w:rsidR="00427096" w:rsidRPr="00D36E68">
        <w:rPr>
          <w:rFonts w:ascii="Arial" w:eastAsia="Times New Roman" w:hAnsi="Arial" w:cs="Arial"/>
          <w:sz w:val="20"/>
          <w:szCs w:val="20"/>
          <w:lang w:val="es-ES_tradnl" w:eastAsia="es-ES"/>
        </w:rPr>
        <w:t xml:space="preserve">, a fin de que </w:t>
      </w:r>
      <w:r w:rsidR="00572297" w:rsidRPr="00D36E68">
        <w:rPr>
          <w:rFonts w:ascii="Arial" w:eastAsia="Times New Roman" w:hAnsi="Arial" w:cs="Arial"/>
          <w:sz w:val="20"/>
          <w:szCs w:val="20"/>
          <w:lang w:val="es-ES_tradnl" w:eastAsia="es-ES"/>
        </w:rPr>
        <w:t>el</w:t>
      </w:r>
      <w:r w:rsidR="00427096" w:rsidRPr="00D36E68">
        <w:rPr>
          <w:rFonts w:ascii="Arial" w:eastAsia="Times New Roman" w:hAnsi="Arial" w:cs="Arial"/>
          <w:sz w:val="20"/>
          <w:szCs w:val="20"/>
          <w:lang w:val="es-ES_tradnl" w:eastAsia="es-ES"/>
        </w:rPr>
        <w:t xml:space="preserve"> Comité de Transparencia confirm</w:t>
      </w:r>
      <w:r w:rsidR="004550D5" w:rsidRPr="00D36E68">
        <w:rPr>
          <w:rFonts w:ascii="Arial" w:eastAsia="Times New Roman" w:hAnsi="Arial" w:cs="Arial"/>
          <w:sz w:val="20"/>
          <w:szCs w:val="20"/>
          <w:lang w:val="es-ES_tradnl" w:eastAsia="es-ES"/>
        </w:rPr>
        <w:t>e</w:t>
      </w:r>
      <w:r w:rsidR="00427096" w:rsidRPr="00D36E68">
        <w:rPr>
          <w:rFonts w:ascii="Arial" w:eastAsia="Times New Roman" w:hAnsi="Arial" w:cs="Arial"/>
          <w:sz w:val="20"/>
          <w:szCs w:val="20"/>
          <w:lang w:val="es-ES_tradnl" w:eastAsia="es-ES"/>
        </w:rPr>
        <w:t xml:space="preserve"> la </w:t>
      </w:r>
      <w:r w:rsidR="00572297" w:rsidRPr="00D36E68">
        <w:rPr>
          <w:rFonts w:ascii="Arial" w:eastAsia="Times New Roman" w:hAnsi="Arial" w:cs="Arial"/>
          <w:sz w:val="20"/>
          <w:szCs w:val="20"/>
          <w:lang w:val="es-ES_tradnl" w:eastAsia="es-ES"/>
        </w:rPr>
        <w:t xml:space="preserve">confidencialidad </w:t>
      </w:r>
      <w:r w:rsidR="00427096" w:rsidRPr="00D36E68">
        <w:rPr>
          <w:rFonts w:ascii="Arial" w:eastAsia="Times New Roman" w:hAnsi="Arial" w:cs="Arial"/>
          <w:sz w:val="20"/>
          <w:szCs w:val="20"/>
          <w:lang w:val="es-ES_tradnl" w:eastAsia="es-ES"/>
        </w:rPr>
        <w:t>y apr</w:t>
      </w:r>
      <w:r w:rsidR="004550D5" w:rsidRPr="00D36E68">
        <w:rPr>
          <w:rFonts w:ascii="Arial" w:eastAsia="Times New Roman" w:hAnsi="Arial" w:cs="Arial"/>
          <w:sz w:val="20"/>
          <w:szCs w:val="20"/>
          <w:lang w:val="es-ES_tradnl" w:eastAsia="es-ES"/>
        </w:rPr>
        <w:t>uebe</w:t>
      </w:r>
      <w:r w:rsidR="00427096" w:rsidRPr="00D36E68">
        <w:rPr>
          <w:rFonts w:ascii="Arial" w:eastAsia="Times New Roman" w:hAnsi="Arial" w:cs="Arial"/>
          <w:sz w:val="20"/>
          <w:szCs w:val="20"/>
          <w:lang w:val="es-ES_tradnl" w:eastAsia="es-ES"/>
        </w:rPr>
        <w:t xml:space="preserve"> la versión pública</w:t>
      </w:r>
      <w:r w:rsidR="00507006" w:rsidRPr="00D36E68">
        <w:rPr>
          <w:rFonts w:ascii="Arial" w:eastAsia="Times New Roman" w:hAnsi="Arial" w:cs="Arial"/>
          <w:sz w:val="20"/>
          <w:szCs w:val="20"/>
          <w:lang w:val="es-ES_tradnl" w:eastAsia="es-ES"/>
        </w:rPr>
        <w:t>, con fundamento en los artículos 120, 121 y 122</w:t>
      </w:r>
      <w:r w:rsidR="00427096" w:rsidRPr="00D36E68">
        <w:rPr>
          <w:rFonts w:ascii="Arial" w:eastAsia="Times New Roman" w:hAnsi="Arial" w:cs="Arial"/>
          <w:sz w:val="20"/>
          <w:szCs w:val="20"/>
          <w:lang w:val="es-ES_tradnl" w:eastAsia="es-ES"/>
        </w:rPr>
        <w:t xml:space="preserve"> la Ley </w:t>
      </w:r>
      <w:r w:rsidR="00507006" w:rsidRPr="00D36E68">
        <w:rPr>
          <w:rFonts w:ascii="Arial" w:eastAsia="Times New Roman" w:hAnsi="Arial" w:cs="Arial"/>
          <w:sz w:val="20"/>
          <w:szCs w:val="20"/>
          <w:lang w:val="es-ES_tradnl" w:eastAsia="es-ES"/>
        </w:rPr>
        <w:t>General</w:t>
      </w:r>
      <w:r w:rsidR="00427096" w:rsidRPr="00D36E68">
        <w:rPr>
          <w:rFonts w:ascii="Arial" w:eastAsia="Times New Roman" w:hAnsi="Arial" w:cs="Arial"/>
          <w:sz w:val="20"/>
          <w:szCs w:val="20"/>
          <w:lang w:val="es-ES_tradnl" w:eastAsia="es-ES"/>
        </w:rPr>
        <w:t xml:space="preserve"> de Transparencia y Acceso a la Información Pública</w:t>
      </w:r>
      <w:r w:rsidR="00D36E68" w:rsidRPr="00D36E68">
        <w:rPr>
          <w:rFonts w:ascii="Arial" w:eastAsia="Times New Roman" w:hAnsi="Arial" w:cs="Arial"/>
          <w:sz w:val="20"/>
          <w:szCs w:val="20"/>
          <w:lang w:val="es-ES_tradnl" w:eastAsia="es-ES"/>
        </w:rPr>
        <w:t xml:space="preserve"> y al análisis realizado a las 17 carpetas</w:t>
      </w:r>
      <w:r w:rsidR="00484217">
        <w:rPr>
          <w:rFonts w:ascii="Arial" w:eastAsia="Times New Roman" w:hAnsi="Arial" w:cs="Arial"/>
          <w:sz w:val="20"/>
          <w:szCs w:val="20"/>
          <w:lang w:val="es-ES_tradnl" w:eastAsia="es-ES"/>
        </w:rPr>
        <w:t>,</w:t>
      </w:r>
      <w:r w:rsidR="00D36E68" w:rsidRPr="00D36E68">
        <w:rPr>
          <w:rFonts w:ascii="Arial" w:eastAsia="Times New Roman" w:hAnsi="Arial" w:cs="Arial"/>
          <w:sz w:val="20"/>
          <w:szCs w:val="20"/>
          <w:lang w:val="es-ES_tradnl" w:eastAsia="es-ES"/>
        </w:rPr>
        <w:t xml:space="preserve"> se encontraron versiones públicas e</w:t>
      </w:r>
      <w:r w:rsidR="009412E3">
        <w:rPr>
          <w:rFonts w:ascii="Arial" w:eastAsia="Times New Roman" w:hAnsi="Arial" w:cs="Arial"/>
          <w:sz w:val="20"/>
          <w:szCs w:val="20"/>
          <w:lang w:val="es-ES_tradnl" w:eastAsia="es-ES"/>
        </w:rPr>
        <w:t>n las carpetas 3</w:t>
      </w:r>
      <w:r w:rsidR="006B7912">
        <w:rPr>
          <w:rFonts w:ascii="Arial" w:eastAsia="Times New Roman" w:hAnsi="Arial" w:cs="Arial"/>
          <w:sz w:val="20"/>
          <w:szCs w:val="20"/>
          <w:lang w:val="es-ES_tradnl" w:eastAsia="es-ES"/>
        </w:rPr>
        <w:t xml:space="preserve"> (correos electrónicos)</w:t>
      </w:r>
      <w:r w:rsidR="009412E3">
        <w:rPr>
          <w:rFonts w:ascii="Arial" w:eastAsia="Times New Roman" w:hAnsi="Arial" w:cs="Arial"/>
          <w:sz w:val="20"/>
          <w:szCs w:val="20"/>
          <w:lang w:val="es-ES_tradnl" w:eastAsia="es-ES"/>
        </w:rPr>
        <w:t>, 6</w:t>
      </w:r>
      <w:r w:rsidR="006B7912">
        <w:rPr>
          <w:rFonts w:ascii="Arial" w:eastAsia="Times New Roman" w:hAnsi="Arial" w:cs="Arial"/>
          <w:sz w:val="20"/>
          <w:szCs w:val="20"/>
          <w:lang w:val="es-ES_tradnl" w:eastAsia="es-ES"/>
        </w:rPr>
        <w:t xml:space="preserve"> (domicilio, teléfono, teléfono de contacto, correo y correo alterno)</w:t>
      </w:r>
      <w:r w:rsidR="009412E3">
        <w:rPr>
          <w:rFonts w:ascii="Arial" w:eastAsia="Times New Roman" w:hAnsi="Arial" w:cs="Arial"/>
          <w:sz w:val="20"/>
          <w:szCs w:val="20"/>
          <w:lang w:val="es-ES_tradnl" w:eastAsia="es-ES"/>
        </w:rPr>
        <w:t>, 7</w:t>
      </w:r>
      <w:r w:rsidR="006B7912">
        <w:rPr>
          <w:rFonts w:ascii="Arial" w:eastAsia="Times New Roman" w:hAnsi="Arial" w:cs="Arial"/>
          <w:sz w:val="20"/>
          <w:szCs w:val="20"/>
          <w:lang w:val="es-ES_tradnl" w:eastAsia="es-ES"/>
        </w:rPr>
        <w:t xml:space="preserve"> </w:t>
      </w:r>
      <w:r w:rsidR="006B7912">
        <w:rPr>
          <w:rFonts w:ascii="Arial" w:eastAsia="Times New Roman" w:hAnsi="Arial" w:cs="Arial"/>
          <w:sz w:val="20"/>
          <w:szCs w:val="20"/>
          <w:lang w:val="es-ES_tradnl" w:eastAsia="es-ES"/>
        </w:rPr>
        <w:t>(domicilio, teléfono, teléfono de contacto, correo y correo alterno)</w:t>
      </w:r>
      <w:r w:rsidR="009412E3">
        <w:rPr>
          <w:rFonts w:ascii="Arial" w:eastAsia="Times New Roman" w:hAnsi="Arial" w:cs="Arial"/>
          <w:sz w:val="20"/>
          <w:szCs w:val="20"/>
          <w:lang w:val="es-ES_tradnl" w:eastAsia="es-ES"/>
        </w:rPr>
        <w:t>, 8</w:t>
      </w:r>
      <w:r w:rsidR="006B7912">
        <w:rPr>
          <w:rFonts w:ascii="Arial" w:eastAsia="Times New Roman" w:hAnsi="Arial" w:cs="Arial"/>
          <w:sz w:val="20"/>
          <w:szCs w:val="20"/>
          <w:lang w:val="es-ES_tradnl" w:eastAsia="es-ES"/>
        </w:rPr>
        <w:t xml:space="preserve"> </w:t>
      </w:r>
      <w:r w:rsidR="006B7912">
        <w:rPr>
          <w:rFonts w:ascii="Arial" w:eastAsia="Times New Roman" w:hAnsi="Arial" w:cs="Arial"/>
          <w:sz w:val="20"/>
          <w:szCs w:val="20"/>
          <w:lang w:val="es-ES_tradnl" w:eastAsia="es-ES"/>
        </w:rPr>
        <w:t>(correos electrónicos)</w:t>
      </w:r>
      <w:r w:rsidR="009412E3">
        <w:rPr>
          <w:rFonts w:ascii="Arial" w:eastAsia="Times New Roman" w:hAnsi="Arial" w:cs="Arial"/>
          <w:sz w:val="20"/>
          <w:szCs w:val="20"/>
          <w:lang w:val="es-ES_tradnl" w:eastAsia="es-ES"/>
        </w:rPr>
        <w:t>, 9</w:t>
      </w:r>
      <w:r w:rsidR="006B7912">
        <w:rPr>
          <w:rFonts w:ascii="Arial" w:eastAsia="Times New Roman" w:hAnsi="Arial" w:cs="Arial"/>
          <w:sz w:val="20"/>
          <w:szCs w:val="20"/>
          <w:lang w:val="es-ES_tradnl" w:eastAsia="es-ES"/>
        </w:rPr>
        <w:t xml:space="preserve"> </w:t>
      </w:r>
      <w:r w:rsidR="006B7912">
        <w:rPr>
          <w:rFonts w:ascii="Arial" w:eastAsia="Times New Roman" w:hAnsi="Arial" w:cs="Arial"/>
          <w:sz w:val="20"/>
          <w:szCs w:val="20"/>
          <w:lang w:val="es-ES_tradnl" w:eastAsia="es-ES"/>
        </w:rPr>
        <w:t>(correos electrónicos)</w:t>
      </w:r>
      <w:r w:rsidR="009412E3">
        <w:rPr>
          <w:rFonts w:ascii="Arial" w:eastAsia="Times New Roman" w:hAnsi="Arial" w:cs="Arial"/>
          <w:sz w:val="20"/>
          <w:szCs w:val="20"/>
          <w:lang w:val="es-ES_tradnl" w:eastAsia="es-ES"/>
        </w:rPr>
        <w:t>, 10</w:t>
      </w:r>
      <w:r w:rsidR="006B7912">
        <w:rPr>
          <w:rFonts w:ascii="Arial" w:eastAsia="Times New Roman" w:hAnsi="Arial" w:cs="Arial"/>
          <w:sz w:val="20"/>
          <w:szCs w:val="20"/>
          <w:lang w:val="es-ES_tradnl" w:eastAsia="es-ES"/>
        </w:rPr>
        <w:t xml:space="preserve"> </w:t>
      </w:r>
      <w:r w:rsidR="006B7912">
        <w:rPr>
          <w:rFonts w:ascii="Arial" w:eastAsia="Times New Roman" w:hAnsi="Arial" w:cs="Arial"/>
          <w:sz w:val="20"/>
          <w:szCs w:val="20"/>
          <w:lang w:val="es-ES_tradnl" w:eastAsia="es-ES"/>
        </w:rPr>
        <w:t>(correos electrónicos),</w:t>
      </w:r>
      <w:r w:rsidR="00D36E68" w:rsidRPr="00D36E68">
        <w:rPr>
          <w:rFonts w:ascii="Arial" w:eastAsia="Times New Roman" w:hAnsi="Arial" w:cs="Arial"/>
          <w:sz w:val="20"/>
          <w:szCs w:val="20"/>
          <w:lang w:val="es-ES_tradnl" w:eastAsia="es-ES"/>
        </w:rPr>
        <w:t xml:space="preserve"> 12</w:t>
      </w:r>
      <w:r w:rsidR="006B7912">
        <w:rPr>
          <w:rFonts w:ascii="Arial" w:eastAsia="Times New Roman" w:hAnsi="Arial" w:cs="Arial"/>
          <w:sz w:val="20"/>
          <w:szCs w:val="20"/>
          <w:lang w:val="es-ES_tradnl" w:eastAsia="es-ES"/>
        </w:rPr>
        <w:t xml:space="preserve"> </w:t>
      </w:r>
      <w:r w:rsidR="006B7912">
        <w:rPr>
          <w:rFonts w:ascii="Arial" w:eastAsia="Times New Roman" w:hAnsi="Arial" w:cs="Arial"/>
          <w:sz w:val="20"/>
          <w:szCs w:val="20"/>
          <w:lang w:val="es-ES_tradnl" w:eastAsia="es-ES"/>
        </w:rPr>
        <w:t>(correos electrónicos)</w:t>
      </w:r>
      <w:r w:rsidR="00D36E68" w:rsidRPr="00D36E68">
        <w:rPr>
          <w:rFonts w:ascii="Arial" w:eastAsia="Times New Roman" w:hAnsi="Arial" w:cs="Arial"/>
          <w:sz w:val="20"/>
          <w:szCs w:val="20"/>
          <w:lang w:val="es-ES_tradnl" w:eastAsia="es-ES"/>
        </w:rPr>
        <w:t xml:space="preserve">, </w:t>
      </w:r>
      <w:r w:rsidR="006B7912">
        <w:rPr>
          <w:rFonts w:ascii="Arial" w:eastAsia="Times New Roman" w:hAnsi="Arial" w:cs="Arial"/>
          <w:sz w:val="20"/>
          <w:szCs w:val="20"/>
          <w:lang w:val="es-ES_tradnl" w:eastAsia="es-ES"/>
        </w:rPr>
        <w:t xml:space="preserve">en </w:t>
      </w:r>
      <w:r w:rsidR="00D36E68" w:rsidRPr="00D36E68">
        <w:rPr>
          <w:rFonts w:ascii="Arial" w:eastAsia="Times New Roman" w:hAnsi="Arial" w:cs="Arial"/>
          <w:sz w:val="20"/>
          <w:szCs w:val="20"/>
          <w:lang w:val="es-ES_tradnl" w:eastAsia="es-ES"/>
        </w:rPr>
        <w:t xml:space="preserve"> </w:t>
      </w:r>
      <w:r w:rsidR="006B7912">
        <w:rPr>
          <w:rFonts w:ascii="Arial" w:eastAsia="Times New Roman" w:hAnsi="Arial" w:cs="Arial"/>
          <w:sz w:val="20"/>
          <w:szCs w:val="20"/>
          <w:lang w:val="es-ES_tradnl" w:eastAsia="es-ES"/>
        </w:rPr>
        <w:t>la carpeta "documento</w:t>
      </w:r>
      <w:r w:rsidR="00D36E68" w:rsidRPr="00D36E68">
        <w:rPr>
          <w:rFonts w:ascii="Arial" w:eastAsia="Times New Roman" w:hAnsi="Arial" w:cs="Arial"/>
          <w:sz w:val="20"/>
          <w:szCs w:val="20"/>
          <w:lang w:val="es-ES_tradnl" w:eastAsia="es-ES"/>
        </w:rPr>
        <w:t xml:space="preserve">s de apoyo" </w:t>
      </w:r>
      <w:r w:rsidR="006B7912">
        <w:rPr>
          <w:rFonts w:ascii="Arial" w:eastAsia="Times New Roman" w:hAnsi="Arial" w:cs="Arial"/>
          <w:sz w:val="20"/>
          <w:szCs w:val="20"/>
          <w:lang w:val="es-ES_tradnl" w:eastAsia="es-ES"/>
        </w:rPr>
        <w:t>el archivo PDF nombrado "1</w:t>
      </w:r>
      <w:r w:rsidR="006B7912" w:rsidRPr="00D36E68">
        <w:rPr>
          <w:rFonts w:ascii="Arial" w:eastAsia="Times New Roman" w:hAnsi="Arial" w:cs="Arial"/>
          <w:sz w:val="20"/>
          <w:szCs w:val="20"/>
          <w:lang w:val="es-ES_tradnl" w:eastAsia="es-ES"/>
        </w:rPr>
        <w:t>"</w:t>
      </w:r>
      <w:r w:rsidR="006B7912">
        <w:rPr>
          <w:rFonts w:ascii="Arial" w:eastAsia="Times New Roman" w:hAnsi="Arial" w:cs="Arial"/>
          <w:sz w:val="20"/>
          <w:szCs w:val="20"/>
          <w:lang w:val="es-ES_tradnl" w:eastAsia="es-ES"/>
        </w:rPr>
        <w:t xml:space="preserve"> (número de celular) y en el </w:t>
      </w:r>
      <w:r w:rsidR="006B7912" w:rsidRPr="00D36E68">
        <w:rPr>
          <w:rFonts w:ascii="Arial" w:eastAsia="Times New Roman" w:hAnsi="Arial" w:cs="Arial"/>
          <w:sz w:val="20"/>
          <w:szCs w:val="20"/>
          <w:lang w:val="es-ES_tradnl" w:eastAsia="es-ES"/>
        </w:rPr>
        <w:t xml:space="preserve">nombrado "2" </w:t>
      </w:r>
      <w:r w:rsidR="006B7912">
        <w:rPr>
          <w:rFonts w:ascii="Arial" w:eastAsia="Times New Roman" w:hAnsi="Arial" w:cs="Arial"/>
          <w:sz w:val="20"/>
          <w:szCs w:val="20"/>
          <w:lang w:val="es-ES_tradnl" w:eastAsia="es-ES"/>
        </w:rPr>
        <w:t xml:space="preserve"> (</w:t>
      </w:r>
      <w:r w:rsidR="00C01EEF">
        <w:rPr>
          <w:rFonts w:ascii="Arial" w:eastAsia="Times New Roman" w:hAnsi="Arial" w:cs="Arial"/>
          <w:sz w:val="20"/>
          <w:szCs w:val="20"/>
          <w:lang w:val="es-ES_tradnl" w:eastAsia="es-ES"/>
        </w:rPr>
        <w:t xml:space="preserve">correos electrónicos) </w:t>
      </w:r>
      <w:r w:rsidR="00D36E68" w:rsidRPr="00D36E68">
        <w:rPr>
          <w:rFonts w:ascii="Arial" w:eastAsia="Times New Roman" w:hAnsi="Arial" w:cs="Arial"/>
          <w:sz w:val="20"/>
          <w:szCs w:val="20"/>
          <w:lang w:val="es-ES_tradnl" w:eastAsia="es-ES"/>
        </w:rPr>
        <w:t xml:space="preserve">en los que se encuentran clasificados datos personales, </w:t>
      </w:r>
      <w:r w:rsidR="006B56D9" w:rsidRPr="00D36E68">
        <w:rPr>
          <w:rFonts w:ascii="Arial" w:eastAsia="Times New Roman" w:hAnsi="Arial" w:cs="Arial"/>
          <w:sz w:val="20"/>
          <w:szCs w:val="20"/>
          <w:lang w:val="es-ES_tradnl" w:eastAsia="es-ES"/>
        </w:rPr>
        <w:t>por lo que la presente resolución se enfocará en determinar la procedencia de la confidencialidad de los datos testados, misma que a continuación se analiza.</w:t>
      </w:r>
      <w:r w:rsidR="006B7912" w:rsidRPr="006B7912">
        <w:rPr>
          <w:rFonts w:ascii="Arial" w:eastAsia="Times New Roman" w:hAnsi="Arial" w:cs="Arial"/>
          <w:sz w:val="20"/>
          <w:szCs w:val="20"/>
          <w:lang w:val="es-ES_tradnl" w:eastAsia="es-ES"/>
        </w:rPr>
        <w:t xml:space="preserve"> </w:t>
      </w:r>
    </w:p>
    <w:p w:rsidR="006B56D9" w:rsidRPr="00D36E68" w:rsidRDefault="006B56D9" w:rsidP="00D36E68">
      <w:pPr>
        <w:pStyle w:val="Textoindependiente3"/>
        <w:tabs>
          <w:tab w:val="left" w:pos="284"/>
        </w:tabs>
        <w:spacing w:after="0" w:line="276" w:lineRule="auto"/>
        <w:jc w:val="both"/>
        <w:rPr>
          <w:rFonts w:cs="Arial"/>
          <w:sz w:val="20"/>
          <w:szCs w:val="20"/>
        </w:rPr>
      </w:pPr>
    </w:p>
    <w:p w:rsidR="00D36E68" w:rsidRPr="00D36E68" w:rsidRDefault="00D36E68" w:rsidP="00D36E68">
      <w:pPr>
        <w:spacing w:before="10" w:line="276" w:lineRule="auto"/>
        <w:jc w:val="both"/>
        <w:rPr>
          <w:rFonts w:ascii="Arial" w:eastAsia="Times New Roman" w:hAnsi="Arial" w:cs="Arial"/>
          <w:sz w:val="20"/>
          <w:szCs w:val="20"/>
          <w:lang w:val="es-ES_tradnl" w:eastAsia="es-ES"/>
        </w:rPr>
      </w:pPr>
    </w:p>
    <w:p w:rsidR="00D36E68" w:rsidRPr="00D36E68" w:rsidRDefault="00D36E68" w:rsidP="00D36E68">
      <w:pPr>
        <w:spacing w:line="276" w:lineRule="auto"/>
        <w:ind w:left="2054"/>
        <w:jc w:val="both"/>
        <w:rPr>
          <w:rFonts w:ascii="Arial" w:eastAsia="Times New Roman" w:hAnsi="Arial" w:cs="Arial"/>
          <w:sz w:val="20"/>
          <w:szCs w:val="20"/>
          <w:lang w:val="es-ES_tradnl" w:eastAsia="es-ES"/>
        </w:rPr>
      </w:pPr>
      <w:r w:rsidRPr="00D36E68">
        <w:rPr>
          <w:rFonts w:ascii="Arial" w:eastAsia="Times New Roman" w:hAnsi="Arial" w:cs="Arial"/>
          <w:sz w:val="20"/>
          <w:szCs w:val="20"/>
          <w:lang w:val="es-ES_tradnl" w:eastAsia="es-ES"/>
        </w:rPr>
        <w:t>../ Domicilio de particulares:</w:t>
      </w:r>
    </w:p>
    <w:p w:rsidR="00D36E68" w:rsidRPr="00D36E68" w:rsidRDefault="00D36E68" w:rsidP="00D36E68">
      <w:pPr>
        <w:spacing w:before="2" w:line="276" w:lineRule="auto"/>
        <w:jc w:val="both"/>
        <w:rPr>
          <w:rFonts w:ascii="Arial" w:eastAsia="Times New Roman" w:hAnsi="Arial" w:cs="Arial"/>
          <w:sz w:val="20"/>
          <w:szCs w:val="20"/>
          <w:lang w:val="es-ES_tradnl" w:eastAsia="es-ES"/>
        </w:rPr>
      </w:pPr>
    </w:p>
    <w:p w:rsidR="00D36E68" w:rsidRPr="00D36E68" w:rsidRDefault="00D36E68" w:rsidP="00C01EEF">
      <w:pPr>
        <w:spacing w:line="276" w:lineRule="auto"/>
        <w:ind w:left="1716" w:right="134"/>
        <w:jc w:val="both"/>
        <w:rPr>
          <w:rFonts w:ascii="Arial" w:eastAsia="Times New Roman" w:hAnsi="Arial" w:cs="Arial"/>
          <w:sz w:val="20"/>
          <w:szCs w:val="20"/>
          <w:lang w:val="es-ES_tradnl" w:eastAsia="es-ES"/>
        </w:rPr>
      </w:pPr>
      <w:r w:rsidRPr="00D36E68">
        <w:rPr>
          <w:rFonts w:ascii="Arial" w:eastAsia="Times New Roman" w:hAnsi="Arial" w:cs="Arial"/>
          <w:sz w:val="20"/>
          <w:szCs w:val="20"/>
          <w:lang w:val="es-ES_tradnl" w:eastAsia="es-ES"/>
        </w:rPr>
        <w:t xml:space="preserve">El domicilio es un atributo de la personalidad, que consiste en el lugar donde la persona tiene su residencia con el ánimo real o presunto de permanecer en ella, también es considerado como </w:t>
      </w:r>
      <w:proofErr w:type="spellStart"/>
      <w:r w:rsidRPr="00D36E68">
        <w:rPr>
          <w:rFonts w:ascii="Arial" w:eastAsia="Times New Roman" w:hAnsi="Arial" w:cs="Arial"/>
          <w:sz w:val="20"/>
          <w:szCs w:val="20"/>
          <w:lang w:val="es-ES_tradnl" w:eastAsia="es-ES"/>
        </w:rPr>
        <w:t>Ja</w:t>
      </w:r>
      <w:proofErr w:type="spellEnd"/>
      <w:r w:rsidRPr="00D36E68">
        <w:rPr>
          <w:rFonts w:ascii="Arial" w:eastAsia="Times New Roman" w:hAnsi="Arial" w:cs="Arial"/>
          <w:sz w:val="20"/>
          <w:szCs w:val="20"/>
          <w:lang w:val="es-ES_tradnl" w:eastAsia="es-ES"/>
        </w:rPr>
        <w:t xml:space="preserve"> circunscripción territorial donde se asienta una persona, para el ejercicio de sus derechos y cumplimiento de sus obligaciones. Esto es, la calle y número exterior, colonia, delegación o municipio, entidad federativa y el código postal, se traduce en el domicilio particular, por lo tanto, constituye un</w:t>
      </w:r>
      <w:r w:rsidR="00C01EEF">
        <w:rPr>
          <w:rFonts w:ascii="Arial" w:eastAsia="Times New Roman" w:hAnsi="Arial" w:cs="Arial"/>
          <w:sz w:val="20"/>
          <w:szCs w:val="20"/>
          <w:lang w:val="es-ES_tradnl" w:eastAsia="es-ES"/>
        </w:rPr>
        <w:t xml:space="preserve"> </w:t>
      </w:r>
      <w:r w:rsidRPr="00D36E68">
        <w:rPr>
          <w:rFonts w:ascii="Arial" w:eastAsia="Times New Roman" w:hAnsi="Arial" w:cs="Arial"/>
          <w:sz w:val="20"/>
          <w:szCs w:val="20"/>
          <w:lang w:val="es-ES_tradnl" w:eastAsia="es-ES"/>
        </w:rPr>
        <w:t>dato personal confidencial, en términos del artículo 115·, Ley General de la materia, ya que incide directamente en la privacidad de personas físicas identificadas.</w:t>
      </w:r>
    </w:p>
    <w:p w:rsidR="00D36E68" w:rsidRPr="00D36E68" w:rsidRDefault="00D36E68" w:rsidP="00D36E68">
      <w:pPr>
        <w:spacing w:before="1" w:line="276" w:lineRule="auto"/>
        <w:jc w:val="both"/>
        <w:rPr>
          <w:rFonts w:ascii="Arial" w:eastAsia="Times New Roman" w:hAnsi="Arial" w:cs="Arial"/>
          <w:sz w:val="20"/>
          <w:szCs w:val="20"/>
          <w:lang w:val="es-ES_tradnl" w:eastAsia="es-ES"/>
        </w:rPr>
      </w:pPr>
    </w:p>
    <w:p w:rsidR="00D36E68" w:rsidRPr="00D36E68" w:rsidRDefault="00D36E68" w:rsidP="00D36E68">
      <w:pPr>
        <w:spacing w:line="276" w:lineRule="auto"/>
        <w:ind w:left="2083"/>
        <w:jc w:val="both"/>
        <w:rPr>
          <w:rFonts w:ascii="Arial" w:eastAsia="Times New Roman" w:hAnsi="Arial" w:cs="Arial"/>
          <w:sz w:val="20"/>
          <w:szCs w:val="20"/>
          <w:lang w:val="es-ES_tradnl" w:eastAsia="es-ES"/>
        </w:rPr>
      </w:pPr>
      <w:proofErr w:type="gramStart"/>
      <w:r w:rsidRPr="00D36E68">
        <w:rPr>
          <w:rFonts w:ascii="Arial" w:eastAsia="Times New Roman" w:hAnsi="Arial" w:cs="Arial"/>
          <w:sz w:val="20"/>
          <w:szCs w:val="20"/>
          <w:lang w:val="es-ES_tradnl" w:eastAsia="es-ES"/>
        </w:rPr>
        <w:t>./</w:t>
      </w:r>
      <w:proofErr w:type="gramEnd"/>
      <w:r w:rsidRPr="00D36E68">
        <w:rPr>
          <w:rFonts w:ascii="Arial" w:eastAsia="Times New Roman" w:hAnsi="Arial" w:cs="Arial"/>
          <w:sz w:val="20"/>
          <w:szCs w:val="20"/>
          <w:lang w:val="es-ES_tradnl" w:eastAsia="es-ES"/>
        </w:rPr>
        <w:t xml:space="preserve"> Número telefónico de particulares:</w:t>
      </w:r>
    </w:p>
    <w:p w:rsidR="00D36E68" w:rsidRPr="00D36E68" w:rsidRDefault="00D36E68" w:rsidP="00D36E68">
      <w:pPr>
        <w:spacing w:before="4" w:line="276" w:lineRule="auto"/>
        <w:jc w:val="both"/>
        <w:rPr>
          <w:rFonts w:ascii="Arial" w:eastAsia="Times New Roman" w:hAnsi="Arial" w:cs="Arial"/>
          <w:sz w:val="20"/>
          <w:szCs w:val="20"/>
          <w:lang w:val="es-ES_tradnl" w:eastAsia="es-ES"/>
        </w:rPr>
      </w:pPr>
    </w:p>
    <w:p w:rsidR="00D36E68" w:rsidRPr="00D36E68" w:rsidRDefault="00D36E68" w:rsidP="00D36E68">
      <w:pPr>
        <w:spacing w:line="276" w:lineRule="auto"/>
        <w:ind w:left="1752" w:right="97"/>
        <w:jc w:val="both"/>
        <w:rPr>
          <w:rFonts w:ascii="Arial" w:eastAsia="Times New Roman" w:hAnsi="Arial" w:cs="Arial"/>
          <w:sz w:val="20"/>
          <w:szCs w:val="20"/>
          <w:lang w:val="es-ES_tradnl" w:eastAsia="es-ES"/>
        </w:rPr>
      </w:pPr>
      <w:r w:rsidRPr="00D36E68">
        <w:rPr>
          <w:rFonts w:ascii="Arial" w:eastAsia="Times New Roman" w:hAnsi="Arial" w:cs="Arial"/>
          <w:sz w:val="20"/>
          <w:szCs w:val="20"/>
          <w:lang w:val="es-ES_tradnl" w:eastAsia="es-ES"/>
        </w:rPr>
        <w:t>El número telefónico es una secuencia de dígitos utilizada para identificar una línea telefónica dentro de una red telefónica conmutada, dicho número es privado y único, puesto que identifica a una persona como titular de la misma, al ser un medio de comunicación con el mismo que inclusive, podría revelar la ubicación exacta del titular del número.</w:t>
      </w:r>
    </w:p>
    <w:p w:rsidR="00D36E68" w:rsidRPr="00D36E68" w:rsidRDefault="00D36E68" w:rsidP="00D36E68">
      <w:pPr>
        <w:spacing w:before="3" w:line="276" w:lineRule="auto"/>
        <w:jc w:val="both"/>
        <w:rPr>
          <w:rFonts w:ascii="Arial" w:eastAsia="Times New Roman" w:hAnsi="Arial" w:cs="Arial"/>
          <w:sz w:val="20"/>
          <w:szCs w:val="20"/>
          <w:lang w:val="es-ES_tradnl" w:eastAsia="es-ES"/>
        </w:rPr>
      </w:pPr>
    </w:p>
    <w:p w:rsidR="00D36E68" w:rsidRPr="00D36E68" w:rsidRDefault="00D36E68" w:rsidP="00D36E68">
      <w:pPr>
        <w:spacing w:line="276" w:lineRule="auto"/>
        <w:ind w:left="1766" w:right="66" w:firstLine="29"/>
        <w:jc w:val="both"/>
        <w:rPr>
          <w:rFonts w:ascii="Arial" w:eastAsia="Times New Roman" w:hAnsi="Arial" w:cs="Arial"/>
          <w:sz w:val="20"/>
          <w:szCs w:val="20"/>
          <w:lang w:val="es-ES_tradnl" w:eastAsia="es-ES"/>
        </w:rPr>
      </w:pPr>
      <w:r w:rsidRPr="00D36E68">
        <w:rPr>
          <w:rFonts w:ascii="Arial" w:eastAsia="Times New Roman" w:hAnsi="Arial" w:cs="Arial"/>
          <w:sz w:val="20"/>
          <w:szCs w:val="20"/>
          <w:lang w:val="es-ES_tradnl" w:eastAsia="es-ES"/>
        </w:rPr>
        <w:t>En ese sentido, actualiza la causal de confidencialidad en términos del artículo 115  de la Ley General en la materia.</w:t>
      </w:r>
    </w:p>
    <w:p w:rsidR="00D36E68" w:rsidRPr="00D36E68" w:rsidRDefault="00D36E68" w:rsidP="00D36E68">
      <w:pPr>
        <w:spacing w:before="5" w:line="276" w:lineRule="auto"/>
        <w:jc w:val="both"/>
        <w:rPr>
          <w:rFonts w:ascii="Arial" w:eastAsia="Times New Roman" w:hAnsi="Arial" w:cs="Arial"/>
          <w:sz w:val="20"/>
          <w:szCs w:val="20"/>
          <w:lang w:val="es-ES_tradnl" w:eastAsia="es-ES"/>
        </w:rPr>
      </w:pPr>
    </w:p>
    <w:p w:rsidR="00D36E68" w:rsidRPr="00D36E68" w:rsidRDefault="00D36E68" w:rsidP="00D36E68">
      <w:pPr>
        <w:spacing w:line="276" w:lineRule="auto"/>
        <w:ind w:left="2126"/>
        <w:jc w:val="both"/>
        <w:rPr>
          <w:rFonts w:ascii="Arial" w:eastAsia="Times New Roman" w:hAnsi="Arial" w:cs="Arial"/>
          <w:sz w:val="20"/>
          <w:szCs w:val="20"/>
          <w:lang w:val="es-ES_tradnl" w:eastAsia="es-ES"/>
        </w:rPr>
      </w:pPr>
      <w:proofErr w:type="gramStart"/>
      <w:r w:rsidRPr="00D36E68">
        <w:rPr>
          <w:rFonts w:ascii="Arial" w:eastAsia="Times New Roman" w:hAnsi="Arial" w:cs="Arial"/>
          <w:sz w:val="20"/>
          <w:szCs w:val="20"/>
          <w:lang w:val="es-ES_tradnl" w:eastAsia="es-ES"/>
        </w:rPr>
        <w:t>./</w:t>
      </w:r>
      <w:proofErr w:type="gramEnd"/>
      <w:r w:rsidRPr="00D36E68">
        <w:rPr>
          <w:rFonts w:ascii="Arial" w:eastAsia="Times New Roman" w:hAnsi="Arial" w:cs="Arial"/>
          <w:sz w:val="20"/>
          <w:szCs w:val="20"/>
          <w:lang w:val="es-ES_tradnl" w:eastAsia="es-ES"/>
        </w:rPr>
        <w:t xml:space="preserve"> Correo electrónico personal:</w:t>
      </w:r>
    </w:p>
    <w:p w:rsidR="00D36E68" w:rsidRPr="00D36E68" w:rsidRDefault="00D36E68" w:rsidP="00D36E68">
      <w:pPr>
        <w:spacing w:line="276" w:lineRule="auto"/>
        <w:ind w:left="2126"/>
        <w:jc w:val="both"/>
        <w:rPr>
          <w:rFonts w:ascii="Arial" w:eastAsia="Times New Roman" w:hAnsi="Arial" w:cs="Arial"/>
          <w:sz w:val="20"/>
          <w:szCs w:val="20"/>
          <w:lang w:val="es-ES_tradnl" w:eastAsia="es-ES"/>
        </w:rPr>
      </w:pPr>
    </w:p>
    <w:p w:rsidR="00D36E68" w:rsidRPr="00D36E68" w:rsidRDefault="00D36E68" w:rsidP="00D36E68">
      <w:pPr>
        <w:spacing w:before="32" w:line="276" w:lineRule="auto"/>
        <w:ind w:left="1843" w:right="49"/>
        <w:jc w:val="both"/>
        <w:rPr>
          <w:rFonts w:ascii="Arial" w:eastAsia="Times New Roman" w:hAnsi="Arial" w:cs="Arial"/>
          <w:sz w:val="20"/>
          <w:szCs w:val="20"/>
          <w:lang w:val="es-ES_tradnl" w:eastAsia="es-ES"/>
        </w:rPr>
      </w:pPr>
      <w:r w:rsidRPr="00D36E68">
        <w:rPr>
          <w:rFonts w:ascii="Arial" w:eastAsia="Times New Roman" w:hAnsi="Arial" w:cs="Arial"/>
          <w:sz w:val="20"/>
          <w:szCs w:val="20"/>
          <w:lang w:val="es-ES_tradnl" w:eastAsia="es-ES"/>
        </w:rPr>
        <w:t xml:space="preserve">Una dirección de. </w:t>
      </w:r>
      <w:proofErr w:type="gramStart"/>
      <w:r w:rsidRPr="00D36E68">
        <w:rPr>
          <w:rFonts w:ascii="Arial" w:eastAsia="Times New Roman" w:hAnsi="Arial" w:cs="Arial"/>
          <w:sz w:val="20"/>
          <w:szCs w:val="20"/>
          <w:lang w:val="es-ES_tradnl" w:eastAsia="es-ES"/>
        </w:rPr>
        <w:t>correo</w:t>
      </w:r>
      <w:proofErr w:type="gramEnd"/>
      <w:r w:rsidRPr="00D36E68">
        <w:rPr>
          <w:rFonts w:ascii="Arial" w:eastAsia="Times New Roman" w:hAnsi="Arial" w:cs="Arial"/>
          <w:sz w:val="20"/>
          <w:szCs w:val="20"/>
          <w:lang w:val="es-ES_tradnl" w:eastAsia="es-ES"/>
        </w:rPr>
        <w:t xml:space="preserve"> electrónico, es un conjunto de palabras que constituyen  una cuenta .Que permite el envío mutuo de correos electrónicos; dicha dirección· es · privada y única, puesto que identifica a una persona como titular de la misma, ya que, para tener acceso a ésta, se requiere un nombre de usuario, así como una contraseña, por tanto, nadie que no sea el propietario puede utilizarla.</w:t>
      </w:r>
    </w:p>
    <w:p w:rsidR="00D36E68" w:rsidRPr="00D36E68" w:rsidRDefault="00D36E68" w:rsidP="00D36E68">
      <w:pPr>
        <w:spacing w:before="2" w:line="276" w:lineRule="auto"/>
        <w:ind w:left="1843" w:right="49"/>
        <w:jc w:val="both"/>
        <w:rPr>
          <w:rFonts w:ascii="Arial" w:eastAsia="Times New Roman" w:hAnsi="Arial" w:cs="Arial"/>
          <w:sz w:val="20"/>
          <w:szCs w:val="20"/>
          <w:lang w:val="es-ES_tradnl" w:eastAsia="es-ES"/>
        </w:rPr>
      </w:pPr>
    </w:p>
    <w:p w:rsidR="00D36E68" w:rsidRPr="00D36E68" w:rsidRDefault="00D36E68" w:rsidP="00D36E68">
      <w:pPr>
        <w:spacing w:line="276" w:lineRule="auto"/>
        <w:ind w:left="1843" w:right="49"/>
        <w:jc w:val="both"/>
        <w:rPr>
          <w:rFonts w:ascii="Arial" w:eastAsia="Times New Roman" w:hAnsi="Arial" w:cs="Arial"/>
          <w:sz w:val="20"/>
          <w:szCs w:val="20"/>
          <w:lang w:val="es-ES_tradnl" w:eastAsia="es-ES"/>
        </w:rPr>
      </w:pPr>
      <w:r w:rsidRPr="00D36E68">
        <w:rPr>
          <w:rFonts w:ascii="Arial" w:eastAsia="Times New Roman" w:hAnsi="Arial" w:cs="Arial"/>
          <w:sz w:val="20"/>
          <w:szCs w:val="20"/>
          <w:lang w:val="es-ES_tradnl" w:eastAsia="es-ES"/>
        </w:rPr>
        <w:t xml:space="preserve">Bajo tales consideraciones, es posible colegir que las cuentas de correo electrónico pueden asimilarse a los números telefónicos o domicilios particulares, cuyo número 1 o ubicación respectivamente, son considerados datos personales, toda vez que es otro medio para comunicarse con la persona titular de los mismos, lo que la hace localizable. Por ende, se trata de. </w:t>
      </w:r>
      <w:proofErr w:type="gramStart"/>
      <w:r w:rsidRPr="00D36E68">
        <w:rPr>
          <w:rFonts w:ascii="Arial" w:eastAsia="Times New Roman" w:hAnsi="Arial" w:cs="Arial"/>
          <w:sz w:val="20"/>
          <w:szCs w:val="20"/>
          <w:lang w:val="es-ES_tradnl" w:eastAsia="es-ES"/>
        </w:rPr>
        <w:t>información</w:t>
      </w:r>
      <w:proofErr w:type="gramEnd"/>
      <w:r w:rsidRPr="00D36E68">
        <w:rPr>
          <w:rFonts w:ascii="Arial" w:eastAsia="Times New Roman" w:hAnsi="Arial" w:cs="Arial"/>
          <w:sz w:val="20"/>
          <w:szCs w:val="20"/>
          <w:lang w:val="es-ES_tradnl" w:eastAsia="es-ES"/>
        </w:rPr>
        <w:t xml:space="preserve"> perteneciente a una· persona física identificada o identificable, por </w:t>
      </w:r>
      <w:r w:rsidRPr="00D36E68">
        <w:rPr>
          <w:rFonts w:ascii="Arial" w:eastAsia="Times New Roman" w:hAnsi="Arial" w:cs="Arial"/>
          <w:sz w:val="20"/>
          <w:szCs w:val="20"/>
          <w:lang w:val="es-ES_tradnl" w:eastAsia="es-ES"/>
        </w:rPr>
        <w:lastRenderedPageBreak/>
        <w:t>lo que, de darse a conocer podría afectar su intimidad, en términos de la fracción 1 del artículo 115 de la Ley General en la materia.</w:t>
      </w:r>
    </w:p>
    <w:p w:rsidR="00D36E68" w:rsidRPr="00D36E68" w:rsidRDefault="00D36E68" w:rsidP="00D36E68">
      <w:pPr>
        <w:spacing w:before="4" w:line="276" w:lineRule="auto"/>
        <w:jc w:val="both"/>
        <w:rPr>
          <w:rFonts w:ascii="Arial" w:eastAsia="Times New Roman" w:hAnsi="Arial" w:cs="Arial"/>
          <w:sz w:val="20"/>
          <w:szCs w:val="20"/>
          <w:lang w:val="es-ES_tradnl" w:eastAsia="es-ES"/>
        </w:rPr>
      </w:pPr>
    </w:p>
    <w:p w:rsidR="00D36E68" w:rsidRPr="00D36E68" w:rsidRDefault="00D36E68" w:rsidP="00D36E68">
      <w:pPr>
        <w:spacing w:line="276" w:lineRule="auto"/>
        <w:ind w:left="1843" w:right="606"/>
        <w:jc w:val="both"/>
        <w:rPr>
          <w:rFonts w:ascii="Arial" w:eastAsia="Times New Roman" w:hAnsi="Arial" w:cs="Arial"/>
          <w:sz w:val="20"/>
          <w:szCs w:val="20"/>
          <w:lang w:val="es-ES_tradnl" w:eastAsia="es-ES"/>
        </w:rPr>
      </w:pPr>
      <w:r w:rsidRPr="00D36E68">
        <w:rPr>
          <w:rFonts w:ascii="Arial" w:eastAsia="Times New Roman" w:hAnsi="Arial" w:cs="Arial"/>
          <w:sz w:val="20"/>
          <w:szCs w:val="20"/>
          <w:lang w:val="es-ES_tradnl" w:eastAsia="es-ES"/>
        </w:rPr>
        <w:t>Por lo tanto, se trata .de un dato personal confidencial ya que hace identificable al titular, en términos del artículo 115, de la Ley General  de Transparencia y Acceso a la Información Pública. · ·</w:t>
      </w:r>
    </w:p>
    <w:p w:rsidR="00D36E68" w:rsidRPr="00D36E68" w:rsidRDefault="00D36E68" w:rsidP="00D36E68">
      <w:pPr>
        <w:spacing w:line="276" w:lineRule="auto"/>
        <w:ind w:left="2126"/>
        <w:jc w:val="both"/>
        <w:rPr>
          <w:rFonts w:ascii="Arial" w:eastAsia="Times New Roman" w:hAnsi="Arial" w:cs="Arial"/>
          <w:sz w:val="20"/>
          <w:szCs w:val="20"/>
          <w:lang w:val="es-ES_tradnl" w:eastAsia="es-ES"/>
        </w:rPr>
      </w:pPr>
    </w:p>
    <w:p w:rsidR="00D36E68" w:rsidRPr="00D36E68" w:rsidRDefault="00D36E68" w:rsidP="00D36E68">
      <w:pPr>
        <w:spacing w:before="6" w:line="276" w:lineRule="auto"/>
        <w:jc w:val="both"/>
        <w:rPr>
          <w:rFonts w:ascii="Arial" w:eastAsia="Times New Roman" w:hAnsi="Arial" w:cs="Arial"/>
          <w:sz w:val="20"/>
          <w:szCs w:val="20"/>
          <w:lang w:val="es-ES_tradnl" w:eastAsia="es-ES"/>
        </w:rPr>
      </w:pPr>
    </w:p>
    <w:p w:rsidR="00427096" w:rsidRPr="00D36E68" w:rsidRDefault="00E746D9" w:rsidP="00D36E68">
      <w:pPr>
        <w:pStyle w:val="Textoindependiente3"/>
        <w:tabs>
          <w:tab w:val="left" w:pos="284"/>
        </w:tabs>
        <w:spacing w:after="0" w:line="276" w:lineRule="auto"/>
        <w:jc w:val="both"/>
        <w:rPr>
          <w:rFonts w:cs="Arial"/>
          <w:sz w:val="20"/>
          <w:szCs w:val="20"/>
        </w:rPr>
      </w:pPr>
      <w:r w:rsidRPr="00D36E68">
        <w:rPr>
          <w:rFonts w:cs="Arial"/>
          <w:b/>
          <w:sz w:val="20"/>
          <w:szCs w:val="20"/>
        </w:rPr>
        <w:t>QUINTO</w:t>
      </w:r>
      <w:r w:rsidR="00427096" w:rsidRPr="00D36E68">
        <w:rPr>
          <w:rFonts w:cs="Arial"/>
          <w:sz w:val="20"/>
          <w:szCs w:val="20"/>
        </w:rPr>
        <w:t xml:space="preserve">. El Artículo </w:t>
      </w:r>
      <w:r w:rsidR="001A11D9" w:rsidRPr="00D36E68">
        <w:rPr>
          <w:rFonts w:cs="Arial"/>
          <w:sz w:val="20"/>
          <w:szCs w:val="20"/>
        </w:rPr>
        <w:t>103</w:t>
      </w:r>
      <w:r w:rsidR="00427096" w:rsidRPr="00D36E68">
        <w:rPr>
          <w:rFonts w:cs="Arial"/>
          <w:sz w:val="20"/>
          <w:szCs w:val="20"/>
        </w:rPr>
        <w:t xml:space="preserve"> fracción I de la Ley </w:t>
      </w:r>
      <w:r w:rsidR="001A11D9" w:rsidRPr="00D36E68">
        <w:rPr>
          <w:rFonts w:cs="Arial"/>
          <w:sz w:val="20"/>
          <w:szCs w:val="20"/>
        </w:rPr>
        <w:t>General</w:t>
      </w:r>
      <w:r w:rsidR="00427096" w:rsidRPr="00D36E68">
        <w:rPr>
          <w:rFonts w:cs="Arial"/>
          <w:sz w:val="20"/>
          <w:szCs w:val="20"/>
        </w:rPr>
        <w:t xml:space="preserve"> de Transparencia y Acceso a la Información Pública, señala</w:t>
      </w:r>
    </w:p>
    <w:p w:rsidR="00427096" w:rsidRPr="00D36E68" w:rsidRDefault="00427096" w:rsidP="00D36E68">
      <w:pPr>
        <w:spacing w:line="276" w:lineRule="auto"/>
        <w:jc w:val="both"/>
        <w:rPr>
          <w:rFonts w:ascii="Arial" w:hAnsi="Arial" w:cs="Arial"/>
          <w:sz w:val="20"/>
          <w:szCs w:val="20"/>
        </w:rPr>
      </w:pPr>
    </w:p>
    <w:p w:rsidR="001A11D9" w:rsidRPr="00D36E68" w:rsidRDefault="00427096" w:rsidP="00D36E68">
      <w:pPr>
        <w:pBdr>
          <w:top w:val="nil"/>
          <w:left w:val="nil"/>
          <w:bottom w:val="nil"/>
          <w:right w:val="nil"/>
          <w:between w:val="nil"/>
        </w:pBdr>
        <w:spacing w:after="101" w:line="276" w:lineRule="auto"/>
        <w:ind w:firstLine="288"/>
        <w:jc w:val="both"/>
        <w:rPr>
          <w:rFonts w:ascii="Arial" w:eastAsia="MS Mincho" w:hAnsi="Arial" w:cs="Arial"/>
          <w:i/>
          <w:sz w:val="20"/>
          <w:szCs w:val="20"/>
          <w:lang w:val="es-ES_tradnl" w:eastAsia="es-ES"/>
        </w:rPr>
      </w:pPr>
      <w:r w:rsidRPr="00D36E68">
        <w:rPr>
          <w:rFonts w:ascii="Arial" w:hAnsi="Arial" w:cs="Arial"/>
          <w:b/>
          <w:i/>
          <w:sz w:val="20"/>
          <w:szCs w:val="20"/>
        </w:rPr>
        <w:t>“</w:t>
      </w:r>
      <w:r w:rsidR="001A11D9" w:rsidRPr="00D36E68">
        <w:rPr>
          <w:rFonts w:ascii="Arial" w:eastAsia="MS Mincho" w:hAnsi="Arial" w:cs="Arial"/>
          <w:i/>
          <w:sz w:val="20"/>
          <w:szCs w:val="20"/>
          <w:lang w:val="es-ES_tradnl" w:eastAsia="es-ES"/>
        </w:rPr>
        <w:t>Artículo 103. La clasificación de la información se llevará a cabo en el momento en que:</w:t>
      </w:r>
    </w:p>
    <w:p w:rsidR="001A11D9" w:rsidRPr="00D36E68" w:rsidRDefault="001A11D9" w:rsidP="00D36E68">
      <w:pPr>
        <w:pBdr>
          <w:top w:val="nil"/>
          <w:left w:val="nil"/>
          <w:bottom w:val="nil"/>
          <w:right w:val="nil"/>
          <w:between w:val="nil"/>
        </w:pBdr>
        <w:spacing w:after="101" w:line="276" w:lineRule="auto"/>
        <w:ind w:left="1152" w:hanging="864"/>
        <w:jc w:val="both"/>
        <w:rPr>
          <w:rFonts w:ascii="Arial" w:eastAsia="Arial" w:hAnsi="Arial" w:cs="Arial"/>
          <w:color w:val="000000"/>
          <w:sz w:val="20"/>
          <w:szCs w:val="20"/>
        </w:rPr>
      </w:pPr>
      <w:r w:rsidRPr="00D36E68">
        <w:rPr>
          <w:rFonts w:ascii="Arial" w:eastAsia="MS Mincho" w:hAnsi="Arial" w:cs="Arial"/>
          <w:i/>
          <w:sz w:val="20"/>
          <w:szCs w:val="20"/>
          <w:lang w:val="es-ES_tradnl" w:eastAsia="es-ES"/>
        </w:rPr>
        <w:t>I.</w:t>
      </w:r>
      <w:r w:rsidRPr="00D36E68">
        <w:rPr>
          <w:rFonts w:ascii="Arial" w:eastAsia="MS Mincho" w:hAnsi="Arial" w:cs="Arial"/>
          <w:i/>
          <w:sz w:val="20"/>
          <w:szCs w:val="20"/>
          <w:lang w:val="es-ES_tradnl" w:eastAsia="es-ES"/>
        </w:rPr>
        <w:tab/>
        <w:t>Se reciba una solicitud de acceso a la información</w:t>
      </w:r>
      <w:r w:rsidRPr="00D36E68">
        <w:rPr>
          <w:rFonts w:ascii="Arial" w:eastAsia="Arial" w:hAnsi="Arial" w:cs="Arial"/>
          <w:color w:val="000000"/>
          <w:sz w:val="20"/>
          <w:szCs w:val="20"/>
        </w:rPr>
        <w:t>;</w:t>
      </w:r>
    </w:p>
    <w:p w:rsidR="00427096" w:rsidRPr="00D36E68" w:rsidRDefault="001A11D9" w:rsidP="00D36E68">
      <w:pPr>
        <w:pStyle w:val="Texto"/>
        <w:spacing w:after="0" w:line="276" w:lineRule="auto"/>
        <w:rPr>
          <w:rFonts w:cs="Arial"/>
          <w:i/>
          <w:sz w:val="20"/>
        </w:rPr>
      </w:pPr>
      <w:r w:rsidRPr="00D36E68">
        <w:rPr>
          <w:rFonts w:cs="Arial"/>
          <w:i/>
          <w:sz w:val="20"/>
        </w:rPr>
        <w:t xml:space="preserve"> </w:t>
      </w:r>
      <w:r w:rsidR="00427096" w:rsidRPr="00D36E68">
        <w:rPr>
          <w:rFonts w:cs="Arial"/>
          <w:i/>
          <w:sz w:val="20"/>
        </w:rPr>
        <w:t>[…] “</w:t>
      </w:r>
    </w:p>
    <w:p w:rsidR="00427096" w:rsidRDefault="00427096" w:rsidP="00D36E68">
      <w:pPr>
        <w:autoSpaceDE w:val="0"/>
        <w:autoSpaceDN w:val="0"/>
        <w:adjustRightInd w:val="0"/>
        <w:spacing w:line="276" w:lineRule="auto"/>
        <w:ind w:right="48"/>
        <w:jc w:val="both"/>
        <w:rPr>
          <w:rFonts w:ascii="Arial" w:hAnsi="Arial" w:cs="Arial"/>
          <w:sz w:val="20"/>
          <w:szCs w:val="20"/>
        </w:rPr>
      </w:pPr>
    </w:p>
    <w:p w:rsidR="00C01EEF" w:rsidRPr="00D36E68" w:rsidRDefault="00C01EEF" w:rsidP="00D36E68">
      <w:pPr>
        <w:autoSpaceDE w:val="0"/>
        <w:autoSpaceDN w:val="0"/>
        <w:adjustRightInd w:val="0"/>
        <w:spacing w:line="276" w:lineRule="auto"/>
        <w:ind w:right="48"/>
        <w:jc w:val="both"/>
        <w:rPr>
          <w:rFonts w:ascii="Arial" w:hAnsi="Arial" w:cs="Arial"/>
          <w:sz w:val="20"/>
          <w:szCs w:val="20"/>
        </w:rPr>
      </w:pPr>
    </w:p>
    <w:p w:rsidR="00427096" w:rsidRPr="00D36E68" w:rsidRDefault="00E746D9" w:rsidP="00D36E68">
      <w:pPr>
        <w:autoSpaceDE w:val="0"/>
        <w:autoSpaceDN w:val="0"/>
        <w:adjustRightInd w:val="0"/>
        <w:spacing w:line="276" w:lineRule="auto"/>
        <w:jc w:val="both"/>
        <w:rPr>
          <w:rFonts w:ascii="Arial" w:hAnsi="Arial" w:cs="Arial"/>
          <w:sz w:val="20"/>
          <w:szCs w:val="20"/>
        </w:rPr>
      </w:pPr>
      <w:r w:rsidRPr="00D36E68">
        <w:rPr>
          <w:rFonts w:ascii="Arial" w:hAnsi="Arial" w:cs="Arial"/>
          <w:b/>
          <w:sz w:val="20"/>
          <w:szCs w:val="20"/>
        </w:rPr>
        <w:t>SEXTO</w:t>
      </w:r>
      <w:r w:rsidR="00427096" w:rsidRPr="00D36E68">
        <w:rPr>
          <w:rFonts w:ascii="Arial" w:hAnsi="Arial" w:cs="Arial"/>
          <w:sz w:val="20"/>
          <w:szCs w:val="20"/>
        </w:rPr>
        <w:t>. El artículo 11</w:t>
      </w:r>
      <w:r w:rsidR="009A76C4" w:rsidRPr="00D36E68">
        <w:rPr>
          <w:rFonts w:ascii="Arial" w:hAnsi="Arial" w:cs="Arial"/>
          <w:sz w:val="20"/>
          <w:szCs w:val="20"/>
        </w:rPr>
        <w:t>5</w:t>
      </w:r>
      <w:r w:rsidR="00427096" w:rsidRPr="00D36E68">
        <w:rPr>
          <w:rFonts w:ascii="Arial" w:hAnsi="Arial" w:cs="Arial"/>
          <w:sz w:val="20"/>
          <w:szCs w:val="20"/>
        </w:rPr>
        <w:t xml:space="preserve"> de la Ley </w:t>
      </w:r>
      <w:r w:rsidR="009A76C4" w:rsidRPr="00D36E68">
        <w:rPr>
          <w:rFonts w:ascii="Arial" w:hAnsi="Arial" w:cs="Arial"/>
          <w:sz w:val="20"/>
          <w:szCs w:val="20"/>
        </w:rPr>
        <w:t>General</w:t>
      </w:r>
      <w:r w:rsidR="00427096" w:rsidRPr="00D36E68">
        <w:rPr>
          <w:rFonts w:ascii="Arial" w:hAnsi="Arial" w:cs="Arial"/>
          <w:sz w:val="20"/>
          <w:szCs w:val="20"/>
        </w:rPr>
        <w:t xml:space="preserve"> de Transparencia y Acceso a la Información Pública menciona.</w:t>
      </w:r>
    </w:p>
    <w:p w:rsidR="00427096" w:rsidRPr="00D36E68" w:rsidRDefault="00427096" w:rsidP="00D36E68">
      <w:pPr>
        <w:autoSpaceDE w:val="0"/>
        <w:autoSpaceDN w:val="0"/>
        <w:adjustRightInd w:val="0"/>
        <w:spacing w:line="276" w:lineRule="auto"/>
        <w:jc w:val="both"/>
        <w:rPr>
          <w:rFonts w:ascii="Arial" w:hAnsi="Arial" w:cs="Arial"/>
          <w:sz w:val="20"/>
          <w:szCs w:val="20"/>
        </w:rPr>
      </w:pPr>
    </w:p>
    <w:p w:rsidR="00A96D48" w:rsidRPr="00D36E68" w:rsidRDefault="00427096" w:rsidP="00D36E68">
      <w:pPr>
        <w:pBdr>
          <w:top w:val="nil"/>
          <w:left w:val="nil"/>
          <w:bottom w:val="nil"/>
          <w:right w:val="nil"/>
          <w:between w:val="nil"/>
        </w:pBdr>
        <w:spacing w:after="101" w:line="276" w:lineRule="auto"/>
        <w:ind w:left="284" w:right="474" w:firstLine="288"/>
        <w:jc w:val="both"/>
        <w:rPr>
          <w:rFonts w:ascii="Arial" w:eastAsia="Arial" w:hAnsi="Arial" w:cs="Arial"/>
          <w:i/>
          <w:color w:val="000000"/>
          <w:sz w:val="20"/>
          <w:szCs w:val="20"/>
        </w:rPr>
      </w:pPr>
      <w:r w:rsidRPr="00D36E68">
        <w:rPr>
          <w:rFonts w:ascii="Arial" w:eastAsia="MS Mincho" w:hAnsi="Arial" w:cs="Arial"/>
          <w:sz w:val="20"/>
          <w:szCs w:val="20"/>
          <w:lang w:val="es-ES_tradnl"/>
        </w:rPr>
        <w:t>“</w:t>
      </w:r>
      <w:r w:rsidR="00A96D48" w:rsidRPr="00D36E68">
        <w:rPr>
          <w:rFonts w:ascii="Arial" w:eastAsia="Arial" w:hAnsi="Arial" w:cs="Arial"/>
          <w:b/>
          <w:i/>
          <w:color w:val="000000"/>
          <w:sz w:val="20"/>
          <w:szCs w:val="20"/>
        </w:rPr>
        <w:t>Artículo 115.</w:t>
      </w:r>
      <w:r w:rsidR="00A96D48" w:rsidRPr="00D36E68">
        <w:rPr>
          <w:rFonts w:ascii="Arial" w:eastAsia="Arial" w:hAnsi="Arial" w:cs="Arial"/>
          <w:i/>
          <w:color w:val="000000"/>
          <w:sz w:val="20"/>
          <w:szCs w:val="20"/>
        </w:rPr>
        <w:t xml:space="preserve"> Se considera información confidencial la que contiene datos personales concernientes a una persona física identificada o identificable.</w:t>
      </w:r>
    </w:p>
    <w:p w:rsidR="00A96D48" w:rsidRPr="00D36E68" w:rsidRDefault="00A96D48" w:rsidP="00D36E68">
      <w:pPr>
        <w:pBdr>
          <w:top w:val="nil"/>
          <w:left w:val="nil"/>
          <w:bottom w:val="nil"/>
          <w:right w:val="nil"/>
          <w:between w:val="nil"/>
        </w:pBdr>
        <w:spacing w:after="101" w:line="276" w:lineRule="auto"/>
        <w:ind w:left="284" w:right="474" w:firstLine="288"/>
        <w:jc w:val="both"/>
        <w:rPr>
          <w:rFonts w:ascii="Arial" w:eastAsia="Arial" w:hAnsi="Arial" w:cs="Arial"/>
          <w:i/>
          <w:color w:val="000000"/>
          <w:sz w:val="20"/>
          <w:szCs w:val="20"/>
        </w:rPr>
      </w:pPr>
      <w:r w:rsidRPr="00D36E68">
        <w:rPr>
          <w:rFonts w:ascii="Arial" w:eastAsia="Arial" w:hAnsi="Arial" w:cs="Arial"/>
          <w:i/>
          <w:color w:val="000000"/>
          <w:sz w:val="20"/>
          <w:szCs w:val="20"/>
        </w:rPr>
        <w:t>La información confidencial no estará sujeta a temporalidad alguna y sólo podrán tener acceso a ella los titulares de la misma, sus representantes y las personas servidoras públicas facultadas para ello.</w:t>
      </w:r>
    </w:p>
    <w:p w:rsidR="00A96D48" w:rsidRPr="00D36E68" w:rsidRDefault="00A96D48" w:rsidP="00D36E68">
      <w:pPr>
        <w:pBdr>
          <w:top w:val="nil"/>
          <w:left w:val="nil"/>
          <w:bottom w:val="nil"/>
          <w:right w:val="nil"/>
          <w:between w:val="nil"/>
        </w:pBdr>
        <w:spacing w:after="101" w:line="276" w:lineRule="auto"/>
        <w:ind w:left="284" w:right="474" w:firstLine="288"/>
        <w:jc w:val="both"/>
        <w:rPr>
          <w:rFonts w:ascii="Arial" w:eastAsia="Arial" w:hAnsi="Arial" w:cs="Arial"/>
          <w:i/>
          <w:color w:val="000000"/>
          <w:sz w:val="20"/>
          <w:szCs w:val="20"/>
        </w:rPr>
      </w:pPr>
      <w:r w:rsidRPr="00D36E68">
        <w:rPr>
          <w:rFonts w:ascii="Arial" w:eastAsia="Arial" w:hAnsi="Arial" w:cs="Arial"/>
          <w:i/>
          <w:color w:val="000000"/>
          <w:sz w:val="20"/>
          <w:szCs w:val="20"/>
        </w:rPr>
        <w:t>Se considera como información confidencial de personas físicas o morales: los secretos bancario, fiduciario, industrial, comercial, fiscal, bursátil y postal, cuya titularidad corresponda a las personas particulares, sujetos de derecho internacional o a sujetos obligados cuando no involucren el ejercicio de recursos públicos.</w:t>
      </w:r>
    </w:p>
    <w:p w:rsidR="00A96D48" w:rsidRPr="00D36E68" w:rsidRDefault="00A96D48" w:rsidP="00D36E68">
      <w:pPr>
        <w:pBdr>
          <w:top w:val="nil"/>
          <w:left w:val="nil"/>
          <w:bottom w:val="nil"/>
          <w:right w:val="nil"/>
          <w:between w:val="nil"/>
        </w:pBdr>
        <w:spacing w:after="101" w:line="276" w:lineRule="auto"/>
        <w:ind w:left="284" w:right="474" w:firstLine="288"/>
        <w:jc w:val="both"/>
        <w:rPr>
          <w:rFonts w:ascii="Arial" w:eastAsia="Arial" w:hAnsi="Arial" w:cs="Arial"/>
          <w:i/>
          <w:color w:val="000000"/>
          <w:sz w:val="20"/>
          <w:szCs w:val="20"/>
        </w:rPr>
      </w:pPr>
      <w:r w:rsidRPr="00D36E68">
        <w:rPr>
          <w:rFonts w:ascii="Arial" w:eastAsia="Arial" w:hAnsi="Arial" w:cs="Arial"/>
          <w:i/>
          <w:color w:val="000000"/>
          <w:sz w:val="20"/>
          <w:szCs w:val="20"/>
        </w:rPr>
        <w:t>Asimismo, será información confidencial aquella que presenten las personas particulares a los sujetos obligados, siempre que tengan el derecho a ello, de conformidad con lo dispuesto por las leyes o los tratados internacionales.</w:t>
      </w:r>
    </w:p>
    <w:p w:rsidR="00427096" w:rsidRPr="00D36E68" w:rsidRDefault="00A96D48" w:rsidP="00D36E68">
      <w:pPr>
        <w:pBdr>
          <w:top w:val="nil"/>
          <w:left w:val="nil"/>
          <w:bottom w:val="nil"/>
          <w:right w:val="nil"/>
          <w:between w:val="nil"/>
        </w:pBdr>
        <w:spacing w:after="101" w:line="276" w:lineRule="auto"/>
        <w:ind w:left="284" w:right="474" w:firstLine="288"/>
        <w:jc w:val="both"/>
        <w:rPr>
          <w:rFonts w:ascii="Arial" w:eastAsia="MS Mincho" w:hAnsi="Arial" w:cs="Arial"/>
          <w:i/>
          <w:sz w:val="20"/>
          <w:szCs w:val="20"/>
          <w:lang w:val="es-ES_tradnl" w:eastAsia="es-ES"/>
        </w:rPr>
      </w:pPr>
      <w:r w:rsidRPr="00D36E68">
        <w:rPr>
          <w:rFonts w:ascii="Arial" w:eastAsia="Arial" w:hAnsi="Arial" w:cs="Arial"/>
          <w:i/>
          <w:color w:val="000000"/>
          <w:sz w:val="20"/>
          <w:szCs w:val="20"/>
        </w:rPr>
        <w:t>Se considera confidencial el pronunciamiento sobre la existencia o inexistencia de quejas, denuncias y/o procedimientos administrativos seguidos en contra de personas servidoras públicas y particulares que se encuentren en trámite o no hayan concluido con una sanción firme</w:t>
      </w:r>
      <w:r w:rsidRPr="00D36E68">
        <w:rPr>
          <w:rFonts w:ascii="Arial" w:eastAsia="Arial" w:hAnsi="Arial" w:cs="Arial"/>
          <w:color w:val="000000"/>
          <w:sz w:val="20"/>
          <w:szCs w:val="20"/>
        </w:rPr>
        <w:t>.</w:t>
      </w:r>
      <w:r w:rsidR="00427096" w:rsidRPr="00D36E68">
        <w:rPr>
          <w:rFonts w:ascii="Arial" w:eastAsia="MS Mincho" w:hAnsi="Arial" w:cs="Arial"/>
          <w:i/>
          <w:sz w:val="20"/>
          <w:szCs w:val="20"/>
          <w:lang w:val="es-ES_tradnl"/>
        </w:rPr>
        <w:t xml:space="preserve"> </w:t>
      </w:r>
      <w:r w:rsidR="00427096" w:rsidRPr="00D36E68">
        <w:rPr>
          <w:rFonts w:ascii="Arial" w:eastAsia="MS Mincho" w:hAnsi="Arial" w:cs="Arial"/>
          <w:i/>
          <w:sz w:val="20"/>
          <w:szCs w:val="20"/>
          <w:lang w:val="es-ES_tradnl" w:eastAsia="es-ES"/>
        </w:rPr>
        <w:t>(</w:t>
      </w:r>
      <w:proofErr w:type="gramStart"/>
      <w:r w:rsidR="00427096" w:rsidRPr="00D36E68">
        <w:rPr>
          <w:rFonts w:ascii="Arial" w:eastAsia="MS Mincho" w:hAnsi="Arial" w:cs="Arial"/>
          <w:i/>
          <w:sz w:val="20"/>
          <w:szCs w:val="20"/>
          <w:lang w:val="es-ES_tradnl" w:eastAsia="es-ES"/>
        </w:rPr>
        <w:t>sic</w:t>
      </w:r>
      <w:proofErr w:type="gramEnd"/>
      <w:r w:rsidR="00427096" w:rsidRPr="00D36E68">
        <w:rPr>
          <w:rFonts w:ascii="Arial" w:eastAsia="MS Mincho" w:hAnsi="Arial" w:cs="Arial"/>
          <w:i/>
          <w:sz w:val="20"/>
          <w:szCs w:val="20"/>
          <w:lang w:val="es-ES_tradnl" w:eastAsia="es-ES"/>
        </w:rPr>
        <w:t>)</w:t>
      </w:r>
    </w:p>
    <w:p w:rsidR="00427096" w:rsidRPr="00D36E68" w:rsidRDefault="00427096" w:rsidP="00D36E68">
      <w:pPr>
        <w:pStyle w:val="Texto"/>
        <w:spacing w:after="0" w:line="276" w:lineRule="auto"/>
        <w:ind w:right="474"/>
        <w:rPr>
          <w:rFonts w:eastAsia="MS Mincho" w:cs="Arial"/>
          <w:i/>
          <w:sz w:val="20"/>
          <w:lang w:val="es-ES_tradnl"/>
        </w:rPr>
      </w:pPr>
    </w:p>
    <w:p w:rsidR="006B56D9" w:rsidRPr="00D36E68" w:rsidRDefault="006B56D9" w:rsidP="00D36E68">
      <w:pPr>
        <w:pStyle w:val="Texto"/>
        <w:spacing w:after="0" w:line="276" w:lineRule="auto"/>
        <w:ind w:right="474"/>
        <w:rPr>
          <w:rFonts w:eastAsia="MS Mincho" w:cs="Arial"/>
          <w:i/>
          <w:sz w:val="20"/>
          <w:lang w:val="es-ES_tradnl"/>
        </w:rPr>
      </w:pPr>
    </w:p>
    <w:p w:rsidR="00427096" w:rsidRPr="00D36E68" w:rsidRDefault="00E746D9" w:rsidP="00D36E68">
      <w:pPr>
        <w:autoSpaceDE w:val="0"/>
        <w:autoSpaceDN w:val="0"/>
        <w:adjustRightInd w:val="0"/>
        <w:spacing w:line="276" w:lineRule="auto"/>
        <w:ind w:right="-93"/>
        <w:jc w:val="both"/>
        <w:rPr>
          <w:rFonts w:ascii="Arial" w:hAnsi="Arial" w:cs="Arial"/>
          <w:sz w:val="20"/>
          <w:szCs w:val="20"/>
        </w:rPr>
      </w:pPr>
      <w:r w:rsidRPr="00D36E68">
        <w:rPr>
          <w:rFonts w:ascii="Arial" w:hAnsi="Arial" w:cs="Arial"/>
          <w:b/>
          <w:sz w:val="20"/>
          <w:szCs w:val="20"/>
        </w:rPr>
        <w:lastRenderedPageBreak/>
        <w:t>SÉPTIMO</w:t>
      </w:r>
      <w:r w:rsidR="004A6FE7" w:rsidRPr="00D36E68">
        <w:rPr>
          <w:rFonts w:ascii="Arial" w:hAnsi="Arial" w:cs="Arial"/>
          <w:sz w:val="20"/>
          <w:szCs w:val="20"/>
        </w:rPr>
        <w:t>. Los</w:t>
      </w:r>
      <w:r w:rsidR="00970E4F" w:rsidRPr="00D36E68">
        <w:rPr>
          <w:rFonts w:ascii="Arial" w:hAnsi="Arial" w:cs="Arial"/>
          <w:sz w:val="20"/>
          <w:szCs w:val="20"/>
        </w:rPr>
        <w:t xml:space="preserve"> artículo</w:t>
      </w:r>
      <w:r w:rsidR="004A6FE7" w:rsidRPr="00D36E68">
        <w:rPr>
          <w:rFonts w:ascii="Arial" w:hAnsi="Arial" w:cs="Arial"/>
          <w:sz w:val="20"/>
          <w:szCs w:val="20"/>
        </w:rPr>
        <w:t>s</w:t>
      </w:r>
      <w:r w:rsidR="00970E4F" w:rsidRPr="00D36E68">
        <w:rPr>
          <w:rFonts w:ascii="Arial" w:hAnsi="Arial" w:cs="Arial"/>
          <w:sz w:val="20"/>
          <w:szCs w:val="20"/>
        </w:rPr>
        <w:t xml:space="preserve"> 1</w:t>
      </w:r>
      <w:r w:rsidR="004A6FE7" w:rsidRPr="00D36E68">
        <w:rPr>
          <w:rFonts w:ascii="Arial" w:hAnsi="Arial" w:cs="Arial"/>
          <w:sz w:val="20"/>
          <w:szCs w:val="20"/>
        </w:rPr>
        <w:t>20 y 121</w:t>
      </w:r>
      <w:r w:rsidR="00427096" w:rsidRPr="00D36E68">
        <w:rPr>
          <w:rFonts w:ascii="Arial" w:hAnsi="Arial" w:cs="Arial"/>
          <w:sz w:val="20"/>
          <w:szCs w:val="20"/>
        </w:rPr>
        <w:t xml:space="preserve"> de la Ley </w:t>
      </w:r>
      <w:r w:rsidR="00970E4F" w:rsidRPr="00D36E68">
        <w:rPr>
          <w:rFonts w:ascii="Arial" w:hAnsi="Arial" w:cs="Arial"/>
          <w:sz w:val="20"/>
          <w:szCs w:val="20"/>
        </w:rPr>
        <w:t>General</w:t>
      </w:r>
      <w:r w:rsidR="00427096" w:rsidRPr="00D36E68">
        <w:rPr>
          <w:rFonts w:ascii="Arial" w:hAnsi="Arial" w:cs="Arial"/>
          <w:sz w:val="20"/>
          <w:szCs w:val="20"/>
        </w:rPr>
        <w:t xml:space="preserve"> de Transparencia y Acceso a la información, señala.</w:t>
      </w:r>
    </w:p>
    <w:p w:rsidR="00427096" w:rsidRPr="00D36E68" w:rsidRDefault="00427096" w:rsidP="00D36E68">
      <w:pPr>
        <w:autoSpaceDE w:val="0"/>
        <w:autoSpaceDN w:val="0"/>
        <w:adjustRightInd w:val="0"/>
        <w:spacing w:line="276" w:lineRule="auto"/>
        <w:ind w:right="-93"/>
        <w:jc w:val="both"/>
        <w:rPr>
          <w:rFonts w:ascii="Arial" w:hAnsi="Arial" w:cs="Arial"/>
          <w:sz w:val="20"/>
          <w:szCs w:val="20"/>
        </w:rPr>
      </w:pPr>
    </w:p>
    <w:p w:rsidR="004A6FE7" w:rsidRPr="00D36E68" w:rsidRDefault="00427096" w:rsidP="00D36E68">
      <w:pPr>
        <w:pBdr>
          <w:top w:val="nil"/>
          <w:left w:val="nil"/>
          <w:bottom w:val="nil"/>
          <w:right w:val="nil"/>
          <w:between w:val="nil"/>
        </w:pBdr>
        <w:spacing w:after="101" w:line="276" w:lineRule="auto"/>
        <w:ind w:left="567" w:right="616"/>
        <w:jc w:val="both"/>
        <w:rPr>
          <w:rFonts w:ascii="Arial" w:eastAsia="Arial" w:hAnsi="Arial" w:cs="Arial"/>
          <w:i/>
          <w:color w:val="000000"/>
          <w:sz w:val="20"/>
          <w:szCs w:val="20"/>
        </w:rPr>
      </w:pPr>
      <w:r w:rsidRPr="00D36E68">
        <w:rPr>
          <w:rFonts w:ascii="Arial" w:eastAsia="MS Mincho" w:hAnsi="Arial" w:cs="Arial"/>
          <w:b/>
          <w:i/>
          <w:sz w:val="20"/>
          <w:szCs w:val="20"/>
          <w:lang w:val="es-ES_tradnl"/>
        </w:rPr>
        <w:t>“</w:t>
      </w:r>
      <w:r w:rsidR="004A6FE7" w:rsidRPr="00D36E68">
        <w:rPr>
          <w:rFonts w:ascii="Arial" w:eastAsia="Arial" w:hAnsi="Arial" w:cs="Arial"/>
          <w:b/>
          <w:i/>
          <w:color w:val="000000"/>
          <w:sz w:val="20"/>
          <w:szCs w:val="20"/>
        </w:rPr>
        <w:t>Artículo 120.</w:t>
      </w:r>
      <w:r w:rsidR="004A6FE7" w:rsidRPr="00D36E68">
        <w:rPr>
          <w:rFonts w:ascii="Arial" w:eastAsia="Arial" w:hAnsi="Arial" w:cs="Arial"/>
          <w:i/>
          <w:color w:val="000000"/>
          <w:sz w:val="20"/>
          <w:szCs w:val="20"/>
        </w:rPr>
        <w:t xml:space="preserve"> Cuando un documento o expediente contenga partes o secciones reservadas o confidenciales, los sujetos obligados a través de sus áreas, para efectos de atender una solicitud de información, deberán elaborar una versión pública en la que se testen las partes o secciones clasificadas, indicando su contenido de manera genérica, fundando y motivando su clasificación, en términos de lo que determine el Sistema Nacional.</w:t>
      </w:r>
    </w:p>
    <w:p w:rsidR="00427096" w:rsidRPr="00D36E68" w:rsidRDefault="004A6FE7" w:rsidP="00D36E68">
      <w:pPr>
        <w:pBdr>
          <w:top w:val="nil"/>
          <w:left w:val="nil"/>
          <w:bottom w:val="nil"/>
          <w:right w:val="nil"/>
          <w:between w:val="nil"/>
        </w:pBdr>
        <w:spacing w:after="101" w:line="276" w:lineRule="auto"/>
        <w:ind w:left="567" w:right="616"/>
        <w:jc w:val="both"/>
        <w:rPr>
          <w:rFonts w:ascii="Arial" w:eastAsia="Arial" w:hAnsi="Arial" w:cs="Arial"/>
          <w:i/>
          <w:color w:val="000000"/>
          <w:sz w:val="20"/>
          <w:szCs w:val="20"/>
        </w:rPr>
      </w:pPr>
      <w:r w:rsidRPr="00D36E68">
        <w:rPr>
          <w:rFonts w:ascii="Arial" w:eastAsia="Arial" w:hAnsi="Arial" w:cs="Arial"/>
          <w:b/>
          <w:i/>
          <w:color w:val="000000"/>
          <w:sz w:val="20"/>
          <w:szCs w:val="20"/>
        </w:rPr>
        <w:t>Artículo 121.</w:t>
      </w:r>
      <w:r w:rsidRPr="00D36E68">
        <w:rPr>
          <w:rFonts w:ascii="Arial" w:eastAsia="Arial" w:hAnsi="Arial" w:cs="Arial"/>
          <w:i/>
          <w:color w:val="000000"/>
          <w:sz w:val="20"/>
          <w:szCs w:val="20"/>
        </w:rPr>
        <w:t xml:space="preserve"> Los sujetos obligados deberán procurar que los sistemas o medios empleados para eliminar la información en las versiones públicas no permitan la recuperación o visualización de la misma.</w:t>
      </w:r>
      <w:r w:rsidR="00427096" w:rsidRPr="00D36E68">
        <w:rPr>
          <w:rFonts w:ascii="Arial" w:eastAsia="Arial" w:hAnsi="Arial" w:cs="Arial"/>
          <w:i/>
          <w:color w:val="000000"/>
          <w:sz w:val="20"/>
          <w:szCs w:val="20"/>
        </w:rPr>
        <w:t xml:space="preserve"> […]” (sic)</w:t>
      </w:r>
    </w:p>
    <w:p w:rsidR="00427096" w:rsidRPr="00D36E68" w:rsidRDefault="00427096" w:rsidP="00D36E68">
      <w:pPr>
        <w:autoSpaceDE w:val="0"/>
        <w:autoSpaceDN w:val="0"/>
        <w:adjustRightInd w:val="0"/>
        <w:spacing w:line="276" w:lineRule="auto"/>
        <w:ind w:right="-93"/>
        <w:jc w:val="both"/>
        <w:rPr>
          <w:rFonts w:ascii="Arial" w:hAnsi="Arial" w:cs="Arial"/>
          <w:b/>
          <w:sz w:val="20"/>
          <w:szCs w:val="20"/>
        </w:rPr>
      </w:pPr>
    </w:p>
    <w:p w:rsidR="006B56D9" w:rsidRPr="00D36E68" w:rsidRDefault="006B56D9" w:rsidP="00D36E68">
      <w:pPr>
        <w:autoSpaceDE w:val="0"/>
        <w:autoSpaceDN w:val="0"/>
        <w:adjustRightInd w:val="0"/>
        <w:spacing w:line="276" w:lineRule="auto"/>
        <w:ind w:right="-93"/>
        <w:jc w:val="both"/>
        <w:rPr>
          <w:rFonts w:ascii="Arial" w:hAnsi="Arial" w:cs="Arial"/>
          <w:b/>
          <w:sz w:val="20"/>
          <w:szCs w:val="20"/>
        </w:rPr>
      </w:pPr>
    </w:p>
    <w:p w:rsidR="00427096" w:rsidRPr="00D36E68" w:rsidRDefault="00E746D9" w:rsidP="00D36E68">
      <w:pPr>
        <w:autoSpaceDE w:val="0"/>
        <w:autoSpaceDN w:val="0"/>
        <w:adjustRightInd w:val="0"/>
        <w:spacing w:line="276" w:lineRule="auto"/>
        <w:ind w:right="-93"/>
        <w:jc w:val="both"/>
        <w:rPr>
          <w:rFonts w:ascii="Arial" w:hAnsi="Arial" w:cs="Arial"/>
          <w:sz w:val="20"/>
          <w:szCs w:val="20"/>
        </w:rPr>
      </w:pPr>
      <w:r w:rsidRPr="00D36E68">
        <w:rPr>
          <w:rFonts w:ascii="Arial" w:hAnsi="Arial" w:cs="Arial"/>
          <w:b/>
          <w:sz w:val="20"/>
          <w:szCs w:val="20"/>
        </w:rPr>
        <w:t>OCTAVO</w:t>
      </w:r>
      <w:r w:rsidR="00427096" w:rsidRPr="00D36E68">
        <w:rPr>
          <w:rFonts w:ascii="Arial" w:hAnsi="Arial" w:cs="Arial"/>
          <w:b/>
          <w:sz w:val="20"/>
          <w:szCs w:val="20"/>
        </w:rPr>
        <w:t>.</w:t>
      </w:r>
      <w:r w:rsidR="00427096" w:rsidRPr="00D36E68">
        <w:rPr>
          <w:rFonts w:ascii="Arial" w:hAnsi="Arial" w:cs="Arial"/>
          <w:sz w:val="20"/>
          <w:szCs w:val="20"/>
        </w:rPr>
        <w:t xml:space="preserve"> Los Lineamientos generales en materia de clasificación y desclasificación de la información, así como para la elaboración de versiones públicas, indican.</w:t>
      </w:r>
    </w:p>
    <w:p w:rsidR="00427096" w:rsidRPr="00D36E68" w:rsidRDefault="00427096" w:rsidP="00D36E68">
      <w:pPr>
        <w:autoSpaceDE w:val="0"/>
        <w:autoSpaceDN w:val="0"/>
        <w:adjustRightInd w:val="0"/>
        <w:spacing w:line="276" w:lineRule="auto"/>
        <w:ind w:right="-93"/>
        <w:jc w:val="both"/>
        <w:rPr>
          <w:rFonts w:ascii="Arial" w:hAnsi="Arial" w:cs="Arial"/>
          <w:sz w:val="20"/>
          <w:szCs w:val="20"/>
        </w:rPr>
      </w:pPr>
    </w:p>
    <w:p w:rsidR="00427096" w:rsidRPr="00D36E68" w:rsidRDefault="00427096" w:rsidP="00D36E68">
      <w:pPr>
        <w:autoSpaceDE w:val="0"/>
        <w:autoSpaceDN w:val="0"/>
        <w:adjustRightInd w:val="0"/>
        <w:spacing w:line="276" w:lineRule="auto"/>
        <w:ind w:left="567" w:right="474"/>
        <w:jc w:val="both"/>
        <w:rPr>
          <w:rFonts w:ascii="Arial" w:hAnsi="Arial" w:cs="Arial"/>
          <w:i/>
          <w:sz w:val="20"/>
          <w:szCs w:val="20"/>
        </w:rPr>
      </w:pPr>
      <w:r w:rsidRPr="00D36E68">
        <w:rPr>
          <w:rFonts w:ascii="Arial" w:hAnsi="Arial" w:cs="Arial"/>
          <w:i/>
          <w:sz w:val="20"/>
          <w:szCs w:val="20"/>
        </w:rPr>
        <w:t>“[…] 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 (Sic)</w:t>
      </w:r>
    </w:p>
    <w:p w:rsidR="00427096" w:rsidRPr="00D36E68" w:rsidRDefault="00427096" w:rsidP="00D36E68">
      <w:pPr>
        <w:autoSpaceDE w:val="0"/>
        <w:autoSpaceDN w:val="0"/>
        <w:adjustRightInd w:val="0"/>
        <w:spacing w:line="276" w:lineRule="auto"/>
        <w:ind w:left="567" w:right="474"/>
        <w:jc w:val="both"/>
        <w:rPr>
          <w:rFonts w:ascii="Arial" w:hAnsi="Arial" w:cs="Arial"/>
          <w:i/>
          <w:sz w:val="20"/>
          <w:szCs w:val="20"/>
        </w:rPr>
      </w:pPr>
    </w:p>
    <w:p w:rsidR="00427096" w:rsidRPr="00D36E68" w:rsidRDefault="00427096" w:rsidP="00D36E68">
      <w:pPr>
        <w:autoSpaceDE w:val="0"/>
        <w:autoSpaceDN w:val="0"/>
        <w:adjustRightInd w:val="0"/>
        <w:spacing w:line="276" w:lineRule="auto"/>
        <w:ind w:left="567" w:right="474"/>
        <w:jc w:val="both"/>
        <w:rPr>
          <w:rFonts w:ascii="Arial" w:hAnsi="Arial" w:cs="Arial"/>
          <w:i/>
          <w:sz w:val="20"/>
          <w:szCs w:val="20"/>
        </w:rPr>
      </w:pPr>
      <w:r w:rsidRPr="00D36E68">
        <w:rPr>
          <w:rFonts w:ascii="Arial" w:hAnsi="Arial" w:cs="Arial"/>
          <w:i/>
          <w:sz w:val="20"/>
          <w:szCs w:val="20"/>
        </w:rPr>
        <w:t>“[…] DOCUMENTOS IMPRESOS</w:t>
      </w:r>
    </w:p>
    <w:p w:rsidR="00427096" w:rsidRPr="00D36E68" w:rsidRDefault="00427096" w:rsidP="00D36E68">
      <w:pPr>
        <w:autoSpaceDE w:val="0"/>
        <w:autoSpaceDN w:val="0"/>
        <w:adjustRightInd w:val="0"/>
        <w:spacing w:line="276" w:lineRule="auto"/>
        <w:ind w:left="567" w:right="474"/>
        <w:jc w:val="both"/>
        <w:rPr>
          <w:rFonts w:ascii="Arial" w:hAnsi="Arial" w:cs="Arial"/>
          <w:i/>
          <w:sz w:val="20"/>
          <w:szCs w:val="20"/>
        </w:rPr>
      </w:pPr>
    </w:p>
    <w:p w:rsidR="00427096" w:rsidRPr="00D36E68" w:rsidRDefault="00427096" w:rsidP="00D36E68">
      <w:pPr>
        <w:autoSpaceDE w:val="0"/>
        <w:autoSpaceDN w:val="0"/>
        <w:adjustRightInd w:val="0"/>
        <w:spacing w:line="276" w:lineRule="auto"/>
        <w:ind w:left="567" w:right="474"/>
        <w:jc w:val="both"/>
        <w:rPr>
          <w:rFonts w:ascii="Arial" w:hAnsi="Arial" w:cs="Arial"/>
          <w:i/>
          <w:sz w:val="20"/>
          <w:szCs w:val="20"/>
        </w:rPr>
      </w:pPr>
      <w:r w:rsidRPr="00D36E68">
        <w:rPr>
          <w:rFonts w:ascii="Arial" w:hAnsi="Arial" w:cs="Arial"/>
          <w:i/>
          <w:sz w:val="20"/>
          <w:szCs w:val="20"/>
        </w:rPr>
        <w:t>Quincuagésimo noveno. En caso de que el documento únicamente se posea en versión impresa, deberá fotocopiarse y sobre éste deberán testarse las palabras, párrafos o renglones que sean clasificados, debiendo anotar al lado del texto omitido, una referencia numérica tal y como se puede observar en el modelo para testar documentos impresos contenido en el Anexo 1 de los Lineamientos, “Modelo para testar documentos impresos”.</w:t>
      </w:r>
    </w:p>
    <w:p w:rsidR="00427096" w:rsidRPr="00D36E68" w:rsidRDefault="00427096" w:rsidP="00D36E68">
      <w:pPr>
        <w:autoSpaceDE w:val="0"/>
        <w:autoSpaceDN w:val="0"/>
        <w:adjustRightInd w:val="0"/>
        <w:spacing w:line="276" w:lineRule="auto"/>
        <w:ind w:left="567" w:right="474"/>
        <w:jc w:val="both"/>
        <w:rPr>
          <w:rFonts w:ascii="Arial" w:hAnsi="Arial" w:cs="Arial"/>
          <w:i/>
          <w:sz w:val="20"/>
          <w:szCs w:val="20"/>
        </w:rPr>
      </w:pPr>
    </w:p>
    <w:p w:rsidR="00427096" w:rsidRPr="00D36E68" w:rsidRDefault="00427096" w:rsidP="00D36E68">
      <w:pPr>
        <w:autoSpaceDE w:val="0"/>
        <w:autoSpaceDN w:val="0"/>
        <w:adjustRightInd w:val="0"/>
        <w:spacing w:line="276" w:lineRule="auto"/>
        <w:ind w:left="567" w:right="474"/>
        <w:jc w:val="both"/>
        <w:rPr>
          <w:rFonts w:ascii="Arial" w:hAnsi="Arial" w:cs="Arial"/>
          <w:b/>
          <w:i/>
          <w:sz w:val="20"/>
          <w:szCs w:val="20"/>
        </w:rPr>
      </w:pPr>
      <w:r w:rsidRPr="00D36E68">
        <w:rPr>
          <w:rFonts w:ascii="Arial" w:hAnsi="Arial" w:cs="Arial"/>
          <w:b/>
          <w:i/>
          <w:sz w:val="20"/>
          <w:szCs w:val="20"/>
        </w:rPr>
        <w:t>En caso de que sea posible la digitalización del documento, se deberá observar lo establecido en el lineamiento Sexagésimo.</w:t>
      </w:r>
    </w:p>
    <w:p w:rsidR="00427096" w:rsidRPr="00D36E68" w:rsidRDefault="00427096" w:rsidP="00D36E68">
      <w:pPr>
        <w:autoSpaceDE w:val="0"/>
        <w:autoSpaceDN w:val="0"/>
        <w:adjustRightInd w:val="0"/>
        <w:spacing w:line="276" w:lineRule="auto"/>
        <w:ind w:left="567" w:right="474"/>
        <w:jc w:val="both"/>
        <w:rPr>
          <w:rFonts w:ascii="Arial" w:hAnsi="Arial" w:cs="Arial"/>
          <w:i/>
          <w:sz w:val="20"/>
          <w:szCs w:val="20"/>
        </w:rPr>
      </w:pPr>
    </w:p>
    <w:p w:rsidR="00427096" w:rsidRPr="00D36E68" w:rsidRDefault="00427096" w:rsidP="00D36E68">
      <w:pPr>
        <w:autoSpaceDE w:val="0"/>
        <w:autoSpaceDN w:val="0"/>
        <w:adjustRightInd w:val="0"/>
        <w:spacing w:line="276" w:lineRule="auto"/>
        <w:ind w:left="567" w:right="474"/>
        <w:jc w:val="both"/>
        <w:rPr>
          <w:rFonts w:ascii="Arial" w:hAnsi="Arial" w:cs="Arial"/>
          <w:i/>
          <w:sz w:val="20"/>
          <w:szCs w:val="20"/>
        </w:rPr>
      </w:pPr>
      <w:r w:rsidRPr="00D36E68">
        <w:rPr>
          <w:rFonts w:ascii="Arial" w:hAnsi="Arial" w:cs="Arial"/>
          <w:i/>
          <w:sz w:val="20"/>
          <w:szCs w:val="20"/>
        </w:rPr>
        <w:t>La información deberá protegerse con los medios idóneos con que se cuente, de tal forma que no permita la revelación de la información clasificada.” (Sic)</w:t>
      </w:r>
    </w:p>
    <w:p w:rsidR="00427096" w:rsidRPr="00D36E68" w:rsidRDefault="00427096" w:rsidP="00D36E68">
      <w:pPr>
        <w:autoSpaceDE w:val="0"/>
        <w:autoSpaceDN w:val="0"/>
        <w:adjustRightInd w:val="0"/>
        <w:spacing w:line="276" w:lineRule="auto"/>
        <w:ind w:right="-93"/>
        <w:jc w:val="both"/>
        <w:rPr>
          <w:rFonts w:ascii="Arial" w:hAnsi="Arial" w:cs="Arial"/>
          <w:sz w:val="20"/>
          <w:szCs w:val="20"/>
        </w:rPr>
      </w:pPr>
    </w:p>
    <w:p w:rsidR="00BF2251" w:rsidRPr="00D36E68" w:rsidRDefault="00BF2251" w:rsidP="00D36E68">
      <w:pPr>
        <w:autoSpaceDE w:val="0"/>
        <w:autoSpaceDN w:val="0"/>
        <w:adjustRightInd w:val="0"/>
        <w:spacing w:line="276" w:lineRule="auto"/>
        <w:ind w:right="-93"/>
        <w:jc w:val="both"/>
        <w:rPr>
          <w:rFonts w:ascii="Arial" w:hAnsi="Arial" w:cs="Arial"/>
          <w:sz w:val="20"/>
          <w:szCs w:val="20"/>
        </w:rPr>
      </w:pPr>
    </w:p>
    <w:p w:rsidR="00427096" w:rsidRPr="00D36E68" w:rsidRDefault="00427096" w:rsidP="00D36E68">
      <w:pPr>
        <w:autoSpaceDE w:val="0"/>
        <w:autoSpaceDN w:val="0"/>
        <w:adjustRightInd w:val="0"/>
        <w:spacing w:line="276" w:lineRule="auto"/>
        <w:ind w:right="-93"/>
        <w:jc w:val="both"/>
        <w:rPr>
          <w:rFonts w:ascii="Arial" w:hAnsi="Arial" w:cs="Arial"/>
          <w:sz w:val="20"/>
          <w:szCs w:val="20"/>
        </w:rPr>
      </w:pPr>
      <w:r w:rsidRPr="00D36E68">
        <w:rPr>
          <w:rFonts w:ascii="Arial" w:hAnsi="Arial" w:cs="Arial"/>
          <w:sz w:val="20"/>
          <w:szCs w:val="20"/>
        </w:rPr>
        <w:t>Por lo antes expuesto, el Comité de Transparencia de este Instituto, procede a emitir los siguientes resolutivos.</w:t>
      </w:r>
    </w:p>
    <w:p w:rsidR="00427096" w:rsidRPr="00D36E68" w:rsidRDefault="00427096" w:rsidP="00D36E68">
      <w:pPr>
        <w:spacing w:line="276" w:lineRule="auto"/>
        <w:jc w:val="both"/>
        <w:rPr>
          <w:rFonts w:ascii="Arial" w:hAnsi="Arial" w:cs="Arial"/>
          <w:sz w:val="20"/>
          <w:szCs w:val="20"/>
        </w:rPr>
      </w:pPr>
    </w:p>
    <w:p w:rsidR="00427096" w:rsidRPr="00D36E68" w:rsidRDefault="00427096" w:rsidP="00D36E68">
      <w:pPr>
        <w:spacing w:line="276" w:lineRule="auto"/>
        <w:jc w:val="both"/>
        <w:rPr>
          <w:rFonts w:ascii="Arial" w:hAnsi="Arial" w:cs="Arial"/>
          <w:b/>
          <w:sz w:val="20"/>
          <w:szCs w:val="20"/>
        </w:rPr>
      </w:pPr>
      <w:r w:rsidRPr="00D36E68">
        <w:rPr>
          <w:rFonts w:ascii="Arial" w:hAnsi="Arial" w:cs="Arial"/>
          <w:b/>
          <w:sz w:val="20"/>
          <w:szCs w:val="20"/>
        </w:rPr>
        <w:lastRenderedPageBreak/>
        <w:t>-----------------------------------</w:t>
      </w:r>
      <w:r w:rsidR="00533D4D" w:rsidRPr="00D36E68">
        <w:rPr>
          <w:rFonts w:ascii="Arial" w:hAnsi="Arial" w:cs="Arial"/>
          <w:b/>
          <w:sz w:val="20"/>
          <w:szCs w:val="20"/>
        </w:rPr>
        <w:t>--</w:t>
      </w:r>
      <w:r w:rsidRPr="00D36E68">
        <w:rPr>
          <w:rFonts w:ascii="Arial" w:hAnsi="Arial" w:cs="Arial"/>
          <w:b/>
          <w:sz w:val="20"/>
          <w:szCs w:val="20"/>
        </w:rPr>
        <w:t>---------------R E S U E L V E--------------------------------------------------</w:t>
      </w:r>
    </w:p>
    <w:p w:rsidR="00533D4D" w:rsidRPr="00D36E68" w:rsidRDefault="00533D4D" w:rsidP="00D36E68">
      <w:pPr>
        <w:spacing w:line="276" w:lineRule="auto"/>
        <w:jc w:val="both"/>
        <w:rPr>
          <w:rFonts w:ascii="Arial" w:hAnsi="Arial" w:cs="Arial"/>
          <w:sz w:val="20"/>
          <w:szCs w:val="20"/>
        </w:rPr>
      </w:pPr>
    </w:p>
    <w:p w:rsidR="00C01EEF" w:rsidRDefault="00C01EEF" w:rsidP="00D36E68">
      <w:pPr>
        <w:pStyle w:val="Prrafodelista"/>
        <w:autoSpaceDE w:val="0"/>
        <w:autoSpaceDN w:val="0"/>
        <w:adjustRightInd w:val="0"/>
        <w:spacing w:after="0" w:line="276" w:lineRule="auto"/>
        <w:ind w:left="0"/>
        <w:jc w:val="both"/>
        <w:rPr>
          <w:rFonts w:ascii="Arial" w:eastAsia="Times New Roman" w:hAnsi="Arial" w:cs="Arial"/>
          <w:b/>
          <w:sz w:val="20"/>
          <w:szCs w:val="20"/>
          <w:lang w:eastAsia="es-ES"/>
        </w:rPr>
      </w:pPr>
    </w:p>
    <w:p w:rsidR="00427096" w:rsidRPr="00D36E68" w:rsidRDefault="00427096" w:rsidP="00D36E68">
      <w:pPr>
        <w:pStyle w:val="Prrafodelista"/>
        <w:autoSpaceDE w:val="0"/>
        <w:autoSpaceDN w:val="0"/>
        <w:adjustRightInd w:val="0"/>
        <w:spacing w:after="0" w:line="276" w:lineRule="auto"/>
        <w:ind w:left="0"/>
        <w:jc w:val="both"/>
        <w:rPr>
          <w:rFonts w:ascii="Arial" w:eastAsia="Times New Roman" w:hAnsi="Arial" w:cs="Arial"/>
          <w:sz w:val="20"/>
          <w:szCs w:val="20"/>
          <w:lang w:eastAsia="es-ES"/>
        </w:rPr>
      </w:pPr>
      <w:r w:rsidRPr="00D36E68">
        <w:rPr>
          <w:rFonts w:ascii="Arial" w:eastAsia="Times New Roman" w:hAnsi="Arial" w:cs="Arial"/>
          <w:b/>
          <w:sz w:val="20"/>
          <w:szCs w:val="20"/>
          <w:lang w:eastAsia="es-ES"/>
        </w:rPr>
        <w:t>PRIMERO</w:t>
      </w:r>
      <w:r w:rsidRPr="00D36E68">
        <w:rPr>
          <w:rFonts w:ascii="Arial" w:eastAsia="Times New Roman" w:hAnsi="Arial" w:cs="Arial"/>
          <w:sz w:val="20"/>
          <w:szCs w:val="20"/>
          <w:lang w:eastAsia="es-ES"/>
        </w:rPr>
        <w:t xml:space="preserve">. De conformidad con el artículo </w:t>
      </w:r>
      <w:r w:rsidR="00A208AB" w:rsidRPr="00D36E68">
        <w:rPr>
          <w:rFonts w:ascii="Arial" w:eastAsia="Times New Roman" w:hAnsi="Arial" w:cs="Arial"/>
          <w:sz w:val="20"/>
          <w:szCs w:val="20"/>
          <w:lang w:eastAsia="es-ES"/>
        </w:rPr>
        <w:t>40</w:t>
      </w:r>
      <w:r w:rsidRPr="00D36E68">
        <w:rPr>
          <w:rFonts w:ascii="Arial" w:eastAsia="Times New Roman" w:hAnsi="Arial" w:cs="Arial"/>
          <w:sz w:val="20"/>
          <w:szCs w:val="20"/>
          <w:lang w:eastAsia="es-ES"/>
        </w:rPr>
        <w:t xml:space="preserve"> fracción </w:t>
      </w:r>
      <w:r w:rsidR="00A208AB" w:rsidRPr="00D36E68">
        <w:rPr>
          <w:rFonts w:ascii="Arial" w:eastAsia="Times New Roman" w:hAnsi="Arial" w:cs="Arial"/>
          <w:sz w:val="20"/>
          <w:szCs w:val="20"/>
          <w:lang w:eastAsia="es-ES"/>
        </w:rPr>
        <w:t>I</w:t>
      </w:r>
      <w:r w:rsidRPr="00D36E68">
        <w:rPr>
          <w:rFonts w:ascii="Arial" w:eastAsia="Times New Roman" w:hAnsi="Arial" w:cs="Arial"/>
          <w:sz w:val="20"/>
          <w:szCs w:val="20"/>
          <w:lang w:eastAsia="es-ES"/>
        </w:rPr>
        <w:t xml:space="preserve">I </w:t>
      </w:r>
      <w:r w:rsidR="00A208AB" w:rsidRPr="00D36E68">
        <w:rPr>
          <w:rFonts w:ascii="Arial" w:eastAsia="Times New Roman" w:hAnsi="Arial" w:cs="Arial"/>
          <w:sz w:val="20"/>
          <w:szCs w:val="20"/>
          <w:lang w:eastAsia="es-ES"/>
        </w:rPr>
        <w:t xml:space="preserve"> y 139 fracción I </w:t>
      </w:r>
      <w:r w:rsidRPr="00D36E68">
        <w:rPr>
          <w:rFonts w:ascii="Arial" w:eastAsia="Times New Roman" w:hAnsi="Arial" w:cs="Arial"/>
          <w:sz w:val="20"/>
          <w:szCs w:val="20"/>
          <w:lang w:eastAsia="es-ES"/>
        </w:rPr>
        <w:t xml:space="preserve">de la Ley Federal de Transparencia y Acceso a la Información Pública, se </w:t>
      </w:r>
      <w:r w:rsidRPr="00D36E68">
        <w:rPr>
          <w:rFonts w:ascii="Arial" w:eastAsia="Times New Roman" w:hAnsi="Arial" w:cs="Arial"/>
          <w:b/>
          <w:sz w:val="20"/>
          <w:szCs w:val="20"/>
          <w:lang w:eastAsia="es-ES"/>
        </w:rPr>
        <w:t>CONFIRMA</w:t>
      </w:r>
      <w:r w:rsidRPr="00D36E68">
        <w:rPr>
          <w:rFonts w:ascii="Arial" w:eastAsia="Times New Roman" w:hAnsi="Arial" w:cs="Arial"/>
          <w:sz w:val="20"/>
          <w:szCs w:val="20"/>
          <w:lang w:eastAsia="es-ES"/>
        </w:rPr>
        <w:t xml:space="preserve"> la clasificación </w:t>
      </w:r>
      <w:r w:rsidR="006B56D9" w:rsidRPr="00D36E68">
        <w:rPr>
          <w:rFonts w:ascii="Arial" w:eastAsia="Times New Roman" w:hAnsi="Arial" w:cs="Arial"/>
          <w:sz w:val="20"/>
          <w:szCs w:val="20"/>
          <w:lang w:eastAsia="es-ES"/>
        </w:rPr>
        <w:t>de información confidencial por tratarse de</w:t>
      </w:r>
      <w:r w:rsidR="000C101F" w:rsidRPr="00D36E68">
        <w:rPr>
          <w:rFonts w:ascii="Arial" w:eastAsia="Times New Roman" w:hAnsi="Arial" w:cs="Arial"/>
          <w:sz w:val="20"/>
          <w:szCs w:val="20"/>
          <w:lang w:eastAsia="es-ES"/>
        </w:rPr>
        <w:t xml:space="preserve"> datos</w:t>
      </w:r>
      <w:r w:rsidRPr="00D36E68">
        <w:rPr>
          <w:rFonts w:ascii="Arial" w:eastAsia="Times New Roman" w:hAnsi="Arial" w:cs="Arial"/>
          <w:sz w:val="20"/>
          <w:szCs w:val="20"/>
          <w:lang w:eastAsia="es-ES"/>
        </w:rPr>
        <w:t xml:space="preserve"> </w:t>
      </w:r>
      <w:r w:rsidR="006B56D9" w:rsidRPr="00D36E68">
        <w:rPr>
          <w:rFonts w:ascii="Arial" w:eastAsia="Times New Roman" w:hAnsi="Arial" w:cs="Arial"/>
          <w:sz w:val="20"/>
          <w:szCs w:val="20"/>
          <w:lang w:eastAsia="es-ES"/>
        </w:rPr>
        <w:t xml:space="preserve">personales como: </w:t>
      </w:r>
      <w:r w:rsidR="00C01EEF" w:rsidRPr="00C01EEF">
        <w:rPr>
          <w:rFonts w:ascii="Arial" w:eastAsia="Times New Roman" w:hAnsi="Arial" w:cs="Arial"/>
          <w:b/>
          <w:sz w:val="20"/>
          <w:szCs w:val="20"/>
          <w:lang w:eastAsia="es-ES"/>
        </w:rPr>
        <w:t xml:space="preserve">domicilio </w:t>
      </w:r>
      <w:r w:rsidR="00C01EEF" w:rsidRPr="00C01EEF">
        <w:rPr>
          <w:rFonts w:ascii="Arial" w:eastAsia="Times New Roman" w:hAnsi="Arial" w:cs="Arial"/>
          <w:b/>
          <w:sz w:val="20"/>
          <w:szCs w:val="20"/>
          <w:lang w:val="es-ES_tradnl" w:eastAsia="es-ES"/>
        </w:rPr>
        <w:t>de particulares</w:t>
      </w:r>
      <w:r w:rsidR="00C01EEF" w:rsidRPr="00C01EEF">
        <w:rPr>
          <w:rFonts w:ascii="Arial" w:eastAsia="Times New Roman" w:hAnsi="Arial" w:cs="Arial"/>
          <w:b/>
          <w:sz w:val="20"/>
          <w:szCs w:val="20"/>
          <w:lang w:eastAsia="es-ES"/>
        </w:rPr>
        <w:t>, n</w:t>
      </w:r>
      <w:r w:rsidRPr="00C01EEF">
        <w:rPr>
          <w:rFonts w:ascii="Arial" w:eastAsia="Times New Roman" w:hAnsi="Arial" w:cs="Arial"/>
          <w:b/>
          <w:sz w:val="20"/>
          <w:szCs w:val="20"/>
          <w:lang w:eastAsia="es-ES"/>
        </w:rPr>
        <w:t xml:space="preserve">úmero de </w:t>
      </w:r>
      <w:r w:rsidR="009C653E" w:rsidRPr="00C01EEF">
        <w:rPr>
          <w:rFonts w:ascii="Arial" w:eastAsia="Times New Roman" w:hAnsi="Arial" w:cs="Arial"/>
          <w:b/>
          <w:sz w:val="20"/>
          <w:szCs w:val="20"/>
          <w:lang w:eastAsia="es-ES"/>
        </w:rPr>
        <w:t>teléfono celular</w:t>
      </w:r>
      <w:r w:rsidR="0082254B" w:rsidRPr="00C01EEF">
        <w:rPr>
          <w:rFonts w:ascii="Arial" w:eastAsia="Times New Roman" w:hAnsi="Arial" w:cs="Arial"/>
          <w:b/>
          <w:sz w:val="20"/>
          <w:szCs w:val="20"/>
          <w:lang w:eastAsia="es-ES"/>
        </w:rPr>
        <w:t xml:space="preserve"> </w:t>
      </w:r>
      <w:r w:rsidR="00C01EEF" w:rsidRPr="00C01EEF">
        <w:rPr>
          <w:rFonts w:ascii="Arial" w:eastAsia="Times New Roman" w:hAnsi="Arial" w:cs="Arial"/>
          <w:b/>
          <w:sz w:val="20"/>
          <w:szCs w:val="20"/>
          <w:lang w:val="es-ES_tradnl" w:eastAsia="es-ES"/>
        </w:rPr>
        <w:t>de particulares</w:t>
      </w:r>
      <w:r w:rsidR="00C01EEF" w:rsidRPr="00C01EEF">
        <w:rPr>
          <w:rFonts w:ascii="Arial" w:eastAsia="Times New Roman" w:hAnsi="Arial" w:cs="Arial"/>
          <w:b/>
          <w:sz w:val="20"/>
          <w:szCs w:val="20"/>
          <w:lang w:eastAsia="es-ES"/>
        </w:rPr>
        <w:t xml:space="preserve"> </w:t>
      </w:r>
      <w:r w:rsidR="0082254B" w:rsidRPr="00C01EEF">
        <w:rPr>
          <w:rFonts w:ascii="Arial" w:eastAsia="Times New Roman" w:hAnsi="Arial" w:cs="Arial"/>
          <w:b/>
          <w:sz w:val="20"/>
          <w:szCs w:val="20"/>
          <w:lang w:eastAsia="es-ES"/>
        </w:rPr>
        <w:t>y correo electrónico particular</w:t>
      </w:r>
      <w:r w:rsidR="0082254B" w:rsidRPr="00D36E68">
        <w:rPr>
          <w:rFonts w:ascii="Arial" w:eastAsia="Times New Roman" w:hAnsi="Arial" w:cs="Arial"/>
          <w:b/>
          <w:sz w:val="20"/>
          <w:szCs w:val="20"/>
          <w:lang w:eastAsia="es-ES"/>
        </w:rPr>
        <w:t>,</w:t>
      </w:r>
      <w:r w:rsidR="006E65C4" w:rsidRPr="00D36E68">
        <w:rPr>
          <w:rFonts w:ascii="Arial" w:eastAsia="Times New Roman" w:hAnsi="Arial" w:cs="Arial"/>
          <w:sz w:val="20"/>
          <w:szCs w:val="20"/>
          <w:lang w:eastAsia="es-ES"/>
        </w:rPr>
        <w:t xml:space="preserve"> </w:t>
      </w:r>
      <w:r w:rsidRPr="00D36E68">
        <w:rPr>
          <w:rFonts w:ascii="Arial" w:eastAsia="Times New Roman" w:hAnsi="Arial" w:cs="Arial"/>
          <w:sz w:val="20"/>
          <w:szCs w:val="20"/>
          <w:lang w:eastAsia="es-ES"/>
        </w:rPr>
        <w:t xml:space="preserve">de conformidad con </w:t>
      </w:r>
      <w:r w:rsidR="006B56D9" w:rsidRPr="00D36E68">
        <w:rPr>
          <w:rFonts w:ascii="Arial" w:eastAsia="Times New Roman" w:hAnsi="Arial" w:cs="Arial"/>
          <w:sz w:val="20"/>
          <w:szCs w:val="20"/>
          <w:lang w:eastAsia="es-ES"/>
        </w:rPr>
        <w:t>el fundamento legal artí</w:t>
      </w:r>
      <w:r w:rsidR="001A38D0" w:rsidRPr="00D36E68">
        <w:rPr>
          <w:rFonts w:ascii="Arial" w:eastAsia="Times New Roman" w:hAnsi="Arial" w:cs="Arial"/>
          <w:sz w:val="20"/>
          <w:szCs w:val="20"/>
          <w:lang w:eastAsia="es-ES"/>
        </w:rPr>
        <w:t>culo 115</w:t>
      </w:r>
      <w:r w:rsidRPr="00D36E68">
        <w:rPr>
          <w:rFonts w:ascii="Arial" w:eastAsia="Times New Roman" w:hAnsi="Arial" w:cs="Arial"/>
          <w:sz w:val="20"/>
          <w:szCs w:val="20"/>
          <w:lang w:eastAsia="es-ES"/>
        </w:rPr>
        <w:t xml:space="preserve"> de la Ley </w:t>
      </w:r>
      <w:r w:rsidR="001A38D0" w:rsidRPr="00D36E68">
        <w:rPr>
          <w:rFonts w:ascii="Arial" w:eastAsia="Times New Roman" w:hAnsi="Arial" w:cs="Arial"/>
          <w:sz w:val="20"/>
          <w:szCs w:val="20"/>
          <w:lang w:eastAsia="es-ES"/>
        </w:rPr>
        <w:t>General</w:t>
      </w:r>
      <w:r w:rsidRPr="00D36E68">
        <w:rPr>
          <w:rFonts w:ascii="Arial" w:eastAsia="Times New Roman" w:hAnsi="Arial" w:cs="Arial"/>
          <w:sz w:val="20"/>
          <w:szCs w:val="20"/>
          <w:lang w:eastAsia="es-ES"/>
        </w:rPr>
        <w:t xml:space="preserve"> de Transparencia y Acceso a la Información Pública </w:t>
      </w:r>
      <w:r w:rsidR="006F1465" w:rsidRPr="00D36E68">
        <w:rPr>
          <w:rFonts w:ascii="Arial" w:eastAsia="Times New Roman" w:hAnsi="Arial" w:cs="Arial"/>
          <w:sz w:val="20"/>
          <w:szCs w:val="20"/>
          <w:lang w:eastAsia="es-ES"/>
        </w:rPr>
        <w:t xml:space="preserve">contenidos en los </w:t>
      </w:r>
      <w:r w:rsidR="0032776C" w:rsidRPr="00D36E68">
        <w:rPr>
          <w:rFonts w:ascii="Arial" w:eastAsia="Times New Roman" w:hAnsi="Arial" w:cs="Arial"/>
          <w:sz w:val="20"/>
          <w:szCs w:val="20"/>
          <w:lang w:eastAsia="es-ES"/>
        </w:rPr>
        <w:t xml:space="preserve">oficios de apoyo para </w:t>
      </w:r>
      <w:r w:rsidR="00A208AB" w:rsidRPr="00D36E68">
        <w:rPr>
          <w:rFonts w:ascii="Arial" w:eastAsia="Times New Roman" w:hAnsi="Arial" w:cs="Arial"/>
          <w:sz w:val="20"/>
          <w:szCs w:val="20"/>
          <w:lang w:eastAsia="es-ES"/>
        </w:rPr>
        <w:t>la designación del</w:t>
      </w:r>
      <w:r w:rsidR="00F005AE" w:rsidRPr="00D36E68">
        <w:rPr>
          <w:rFonts w:ascii="Arial" w:eastAsia="Times New Roman" w:hAnsi="Arial" w:cs="Arial"/>
          <w:sz w:val="20"/>
          <w:szCs w:val="20"/>
          <w:lang w:eastAsia="es-ES"/>
        </w:rPr>
        <w:t xml:space="preserve"> Director General</w:t>
      </w:r>
      <w:r w:rsidR="00A208AB" w:rsidRPr="00D36E68">
        <w:rPr>
          <w:rFonts w:ascii="Arial" w:eastAsia="Times New Roman" w:hAnsi="Arial" w:cs="Arial"/>
          <w:sz w:val="20"/>
          <w:szCs w:val="20"/>
          <w:lang w:eastAsia="es-ES"/>
        </w:rPr>
        <w:t>, que forman parte de la carpeta de la Primera Sesión Extraordinaria de Ju</w:t>
      </w:r>
      <w:r w:rsidR="00467185" w:rsidRPr="00D36E68">
        <w:rPr>
          <w:rFonts w:ascii="Arial" w:eastAsia="Times New Roman" w:hAnsi="Arial" w:cs="Arial"/>
          <w:sz w:val="20"/>
          <w:szCs w:val="20"/>
          <w:lang w:eastAsia="es-ES"/>
        </w:rPr>
        <w:t xml:space="preserve">nta de Gobierno </w:t>
      </w:r>
      <w:r w:rsidR="006B56D9" w:rsidRPr="00D36E68">
        <w:rPr>
          <w:rFonts w:ascii="Arial" w:eastAsia="Times New Roman" w:hAnsi="Arial" w:cs="Arial"/>
          <w:sz w:val="20"/>
          <w:szCs w:val="20"/>
          <w:lang w:eastAsia="es-ES"/>
        </w:rPr>
        <w:t>del Hospital Infantil de México Federico Gómez</w:t>
      </w:r>
    </w:p>
    <w:p w:rsidR="00427096" w:rsidRPr="00D36E68" w:rsidRDefault="00427096" w:rsidP="00D36E68">
      <w:pPr>
        <w:pStyle w:val="Textoindependiente3"/>
        <w:spacing w:after="0" w:line="276" w:lineRule="auto"/>
        <w:jc w:val="both"/>
        <w:rPr>
          <w:rFonts w:cs="Arial"/>
          <w:sz w:val="20"/>
          <w:szCs w:val="20"/>
          <w:lang w:val="es-ES"/>
        </w:rPr>
      </w:pPr>
    </w:p>
    <w:p w:rsidR="00427096" w:rsidRPr="00D36E68" w:rsidRDefault="00427096" w:rsidP="00D36E68">
      <w:pPr>
        <w:pStyle w:val="Textoindependiente3"/>
        <w:spacing w:after="0" w:line="276" w:lineRule="auto"/>
        <w:jc w:val="both"/>
        <w:rPr>
          <w:rFonts w:cs="Arial"/>
          <w:sz w:val="20"/>
          <w:szCs w:val="20"/>
          <w:lang w:val="es-MX"/>
        </w:rPr>
      </w:pPr>
      <w:r w:rsidRPr="00D36E68">
        <w:rPr>
          <w:rFonts w:cs="Arial"/>
          <w:b/>
          <w:bCs/>
          <w:sz w:val="20"/>
          <w:szCs w:val="20"/>
          <w:lang w:val="es-MX"/>
        </w:rPr>
        <w:t>SEGUNDO.</w:t>
      </w:r>
      <w:r w:rsidRPr="00D36E68">
        <w:rPr>
          <w:rFonts w:cs="Arial"/>
          <w:sz w:val="20"/>
          <w:szCs w:val="20"/>
          <w:lang w:val="es-MX"/>
        </w:rPr>
        <w:t xml:space="preserve"> Se aprueba la versión pública de los </w:t>
      </w:r>
      <w:r w:rsidR="00A77885" w:rsidRPr="00D36E68">
        <w:rPr>
          <w:rFonts w:cs="Arial"/>
          <w:sz w:val="20"/>
          <w:szCs w:val="20"/>
        </w:rPr>
        <w:t>documentos</w:t>
      </w:r>
      <w:r w:rsidR="00DA4FD7" w:rsidRPr="00D36E68">
        <w:rPr>
          <w:rFonts w:cs="Arial"/>
          <w:sz w:val="20"/>
          <w:szCs w:val="20"/>
        </w:rPr>
        <w:t xml:space="preserve"> en formato electrónico</w:t>
      </w:r>
      <w:r w:rsidRPr="00D36E68">
        <w:rPr>
          <w:rFonts w:cs="Arial"/>
          <w:sz w:val="20"/>
          <w:szCs w:val="20"/>
          <w:lang w:val="es-MX"/>
        </w:rPr>
        <w:t>, entregad</w:t>
      </w:r>
      <w:r w:rsidR="00283747" w:rsidRPr="00D36E68">
        <w:rPr>
          <w:rFonts w:cs="Arial"/>
          <w:sz w:val="20"/>
          <w:szCs w:val="20"/>
          <w:lang w:val="es-MX"/>
        </w:rPr>
        <w:t>o</w:t>
      </w:r>
      <w:r w:rsidRPr="00D36E68">
        <w:rPr>
          <w:rFonts w:cs="Arial"/>
          <w:sz w:val="20"/>
          <w:szCs w:val="20"/>
          <w:lang w:val="es-MX"/>
        </w:rPr>
        <w:t xml:space="preserve">s por </w:t>
      </w:r>
      <w:r w:rsidR="00054B62" w:rsidRPr="00D36E68">
        <w:rPr>
          <w:rFonts w:cs="Arial"/>
          <w:sz w:val="20"/>
          <w:szCs w:val="20"/>
          <w:lang w:val="es-MX"/>
        </w:rPr>
        <w:t>Cipriano Solís Badillo, Director de Administración</w:t>
      </w:r>
      <w:r w:rsidR="00DE0B35" w:rsidRPr="00D36E68">
        <w:rPr>
          <w:rFonts w:cs="Arial"/>
          <w:sz w:val="20"/>
          <w:szCs w:val="20"/>
          <w:lang w:val="es-MX"/>
        </w:rPr>
        <w:t xml:space="preserve">, </w:t>
      </w:r>
      <w:r w:rsidR="00F870E5" w:rsidRPr="00D36E68">
        <w:rPr>
          <w:rFonts w:cs="Arial"/>
          <w:sz w:val="20"/>
          <w:szCs w:val="20"/>
          <w:lang w:val="es-MX"/>
        </w:rPr>
        <w:t>c</w:t>
      </w:r>
      <w:r w:rsidRPr="00D36E68">
        <w:rPr>
          <w:rFonts w:cs="Arial"/>
          <w:sz w:val="20"/>
          <w:szCs w:val="20"/>
          <w:lang w:val="es-MX"/>
        </w:rPr>
        <w:t>on el cual</w:t>
      </w:r>
      <w:r w:rsidRPr="00D36E68">
        <w:rPr>
          <w:rFonts w:cs="Arial"/>
          <w:sz w:val="20"/>
          <w:szCs w:val="20"/>
        </w:rPr>
        <w:t xml:space="preserve"> se </w:t>
      </w:r>
      <w:r w:rsidRPr="00D36E68">
        <w:rPr>
          <w:rFonts w:cs="Arial"/>
          <w:sz w:val="20"/>
          <w:szCs w:val="20"/>
          <w:lang w:val="es-MX"/>
        </w:rPr>
        <w:t xml:space="preserve">dará </w:t>
      </w:r>
      <w:r w:rsidR="00054B62" w:rsidRPr="00D36E68">
        <w:rPr>
          <w:rFonts w:cs="Arial"/>
          <w:sz w:val="20"/>
          <w:szCs w:val="20"/>
          <w:lang w:val="es-MX"/>
        </w:rPr>
        <w:t>cumplimiento a la resolución del recurso de revisión RRA</w:t>
      </w:r>
      <w:r w:rsidR="00DA4FD7" w:rsidRPr="00D36E68">
        <w:rPr>
          <w:rFonts w:cs="Arial"/>
          <w:sz w:val="20"/>
          <w:szCs w:val="20"/>
          <w:lang w:val="es-MX"/>
        </w:rPr>
        <w:t xml:space="preserve"> </w:t>
      </w:r>
      <w:r w:rsidR="00054B62" w:rsidRPr="00D36E68">
        <w:rPr>
          <w:rFonts w:cs="Arial"/>
          <w:sz w:val="20"/>
          <w:szCs w:val="20"/>
          <w:lang w:val="es-MX"/>
        </w:rPr>
        <w:t>1666/</w:t>
      </w:r>
      <w:r w:rsidR="00DA4FD7" w:rsidRPr="00D36E68">
        <w:rPr>
          <w:rFonts w:cs="Arial"/>
          <w:sz w:val="20"/>
          <w:szCs w:val="20"/>
          <w:lang w:val="es-MX"/>
        </w:rPr>
        <w:t>25</w:t>
      </w:r>
      <w:r w:rsidRPr="00D36E68">
        <w:rPr>
          <w:rFonts w:cs="Arial"/>
          <w:sz w:val="20"/>
          <w:szCs w:val="20"/>
          <w:lang w:val="es-MX"/>
        </w:rPr>
        <w:t>.</w:t>
      </w:r>
    </w:p>
    <w:p w:rsidR="008B7B48" w:rsidRPr="00D36E68" w:rsidRDefault="008B7B48" w:rsidP="00D36E68">
      <w:pPr>
        <w:pStyle w:val="Textoindependiente3"/>
        <w:spacing w:after="0" w:line="276" w:lineRule="auto"/>
        <w:jc w:val="both"/>
        <w:rPr>
          <w:rFonts w:cs="Arial"/>
          <w:sz w:val="20"/>
          <w:szCs w:val="20"/>
          <w:lang w:val="es-MX"/>
        </w:rPr>
      </w:pPr>
    </w:p>
    <w:p w:rsidR="00427096" w:rsidRPr="00D36E68" w:rsidRDefault="00427096" w:rsidP="00D36E68">
      <w:pPr>
        <w:pStyle w:val="Textoindependiente3"/>
        <w:spacing w:after="0" w:line="276" w:lineRule="auto"/>
        <w:jc w:val="both"/>
        <w:rPr>
          <w:rFonts w:cs="Arial"/>
          <w:sz w:val="20"/>
          <w:szCs w:val="20"/>
        </w:rPr>
      </w:pPr>
      <w:r w:rsidRPr="00D36E68">
        <w:rPr>
          <w:rFonts w:cs="Arial"/>
          <w:b/>
          <w:bCs/>
          <w:sz w:val="20"/>
          <w:szCs w:val="20"/>
          <w:lang w:val="es-MX"/>
        </w:rPr>
        <w:t>TERCERO</w:t>
      </w:r>
      <w:r w:rsidRPr="00D36E68">
        <w:rPr>
          <w:rFonts w:cs="Arial"/>
          <w:b/>
          <w:bCs/>
          <w:sz w:val="20"/>
          <w:szCs w:val="20"/>
        </w:rPr>
        <w:t>.</w:t>
      </w:r>
      <w:r w:rsidRPr="00D36E68">
        <w:rPr>
          <w:rFonts w:cs="Arial"/>
          <w:sz w:val="20"/>
          <w:szCs w:val="20"/>
        </w:rPr>
        <w:t xml:space="preserve"> Se instruye a la Unidad de Transparencia para que entregue al solicitante, la presente resolución y </w:t>
      </w:r>
      <w:r w:rsidR="00A77885" w:rsidRPr="00D36E68">
        <w:rPr>
          <w:rFonts w:cs="Arial"/>
          <w:sz w:val="20"/>
          <w:szCs w:val="20"/>
        </w:rPr>
        <w:t xml:space="preserve">los documentos </w:t>
      </w:r>
      <w:r w:rsidR="00750996" w:rsidRPr="00D36E68">
        <w:rPr>
          <w:rFonts w:cs="Arial"/>
          <w:sz w:val="20"/>
          <w:szCs w:val="20"/>
        </w:rPr>
        <w:t>aprobados en versión pública</w:t>
      </w:r>
      <w:r w:rsidRPr="00D36E68">
        <w:rPr>
          <w:rFonts w:cs="Arial"/>
          <w:sz w:val="20"/>
          <w:szCs w:val="20"/>
        </w:rPr>
        <w:t xml:space="preserve">, en atención </w:t>
      </w:r>
      <w:r w:rsidR="00283747" w:rsidRPr="00D36E68">
        <w:rPr>
          <w:rFonts w:cs="Arial"/>
          <w:sz w:val="20"/>
          <w:szCs w:val="20"/>
          <w:lang w:val="es-MX"/>
        </w:rPr>
        <w:t>a la resolución del recurso de revisión RRA 1666/25</w:t>
      </w:r>
      <w:r w:rsidRPr="00D36E68">
        <w:rPr>
          <w:rFonts w:cs="Arial"/>
          <w:sz w:val="20"/>
          <w:szCs w:val="20"/>
        </w:rPr>
        <w:t>, a través de la Plataforma Nacional de Transparencia.</w:t>
      </w:r>
    </w:p>
    <w:p w:rsidR="008B7B48" w:rsidRPr="00D36E68" w:rsidRDefault="008B7B48" w:rsidP="00D36E68">
      <w:pPr>
        <w:pStyle w:val="Textoindependiente3"/>
        <w:spacing w:after="0" w:line="276" w:lineRule="auto"/>
        <w:jc w:val="both"/>
        <w:rPr>
          <w:rFonts w:cs="Arial"/>
          <w:sz w:val="20"/>
          <w:szCs w:val="20"/>
        </w:rPr>
      </w:pPr>
    </w:p>
    <w:p w:rsidR="00427096" w:rsidRPr="00D36E68" w:rsidRDefault="00427096" w:rsidP="00D36E68">
      <w:pPr>
        <w:pStyle w:val="Textoindependiente3"/>
        <w:spacing w:after="0" w:line="276" w:lineRule="auto"/>
        <w:jc w:val="both"/>
        <w:rPr>
          <w:rFonts w:eastAsia="MS Mincho" w:cs="Arial"/>
          <w:sz w:val="20"/>
          <w:szCs w:val="20"/>
        </w:rPr>
      </w:pPr>
      <w:r w:rsidRPr="00D36E68">
        <w:rPr>
          <w:rFonts w:eastAsia="MS Mincho" w:cs="Arial"/>
          <w:sz w:val="20"/>
          <w:szCs w:val="20"/>
        </w:rPr>
        <w:t xml:space="preserve">Así lo resolvieron por unanimidad los integrantes que asisten </w:t>
      </w:r>
      <w:r w:rsidR="00C009C6" w:rsidRPr="00D36E68">
        <w:rPr>
          <w:rFonts w:eastAsia="MS Mincho" w:cs="Arial"/>
          <w:sz w:val="20"/>
          <w:szCs w:val="20"/>
        </w:rPr>
        <w:t xml:space="preserve">a la </w:t>
      </w:r>
      <w:r w:rsidR="00F05FB9" w:rsidRPr="00D36E68">
        <w:rPr>
          <w:rFonts w:eastAsia="MS Mincho" w:cs="Arial"/>
          <w:sz w:val="20"/>
          <w:szCs w:val="20"/>
        </w:rPr>
        <w:t>décim</w:t>
      </w:r>
      <w:r w:rsidR="00674AD1" w:rsidRPr="00D36E68">
        <w:rPr>
          <w:rFonts w:eastAsia="MS Mincho" w:cs="Arial"/>
          <w:sz w:val="20"/>
          <w:szCs w:val="20"/>
        </w:rPr>
        <w:t>a</w:t>
      </w:r>
      <w:r w:rsidR="00C009C6" w:rsidRPr="00D36E68">
        <w:rPr>
          <w:rFonts w:eastAsia="MS Mincho" w:cs="Arial"/>
          <w:sz w:val="20"/>
          <w:szCs w:val="20"/>
        </w:rPr>
        <w:t xml:space="preserve"> </w:t>
      </w:r>
      <w:r w:rsidR="000D7CBE" w:rsidRPr="00D36E68">
        <w:rPr>
          <w:rFonts w:eastAsia="MS Mincho" w:cs="Arial"/>
          <w:sz w:val="20"/>
          <w:szCs w:val="20"/>
        </w:rPr>
        <w:t xml:space="preserve">octava </w:t>
      </w:r>
      <w:r w:rsidRPr="00D36E68">
        <w:rPr>
          <w:rFonts w:eastAsia="MS Mincho" w:cs="Arial"/>
          <w:sz w:val="20"/>
          <w:szCs w:val="20"/>
        </w:rPr>
        <w:t>reunión extraordinaria virtual de 2025 del Comité de Transparencia del Hospital Infantil de México Federico Gómez.</w:t>
      </w:r>
    </w:p>
    <w:p w:rsidR="0082254B" w:rsidRPr="00D36E68" w:rsidRDefault="0082254B" w:rsidP="00D36E68">
      <w:pPr>
        <w:pStyle w:val="Textoindependiente3"/>
        <w:spacing w:after="0" w:line="276" w:lineRule="auto"/>
        <w:jc w:val="both"/>
        <w:rPr>
          <w:rFonts w:cs="Arial"/>
          <w:sz w:val="20"/>
          <w:szCs w:val="20"/>
        </w:rPr>
      </w:pPr>
    </w:p>
    <w:p w:rsidR="008B7B48" w:rsidRPr="00D36E68" w:rsidRDefault="008B7B48" w:rsidP="00D36E68">
      <w:pPr>
        <w:pStyle w:val="Textoindependiente3"/>
        <w:spacing w:after="0" w:line="276" w:lineRule="auto"/>
        <w:jc w:val="both"/>
        <w:rPr>
          <w:rFonts w:cs="Arial"/>
          <w:sz w:val="20"/>
          <w:szCs w:val="20"/>
        </w:rPr>
      </w:pPr>
    </w:p>
    <w:p w:rsidR="00427096" w:rsidRPr="00D36E68" w:rsidRDefault="00427096" w:rsidP="00D36E68">
      <w:pPr>
        <w:spacing w:line="276" w:lineRule="auto"/>
        <w:contextualSpacing/>
        <w:rPr>
          <w:rFonts w:ascii="Arial" w:hAnsi="Arial" w:cs="Arial"/>
          <w:sz w:val="20"/>
          <w:szCs w:val="20"/>
        </w:rPr>
      </w:pPr>
    </w:p>
    <w:tbl>
      <w:tblPr>
        <w:tblW w:w="9783" w:type="dxa"/>
        <w:tblInd w:w="-356" w:type="dxa"/>
        <w:tblLayout w:type="fixed"/>
        <w:tblCellMar>
          <w:left w:w="70" w:type="dxa"/>
          <w:right w:w="70" w:type="dxa"/>
        </w:tblCellMar>
        <w:tblLook w:val="0000" w:firstRow="0" w:lastRow="0" w:firstColumn="0" w:lastColumn="0" w:noHBand="0" w:noVBand="0"/>
      </w:tblPr>
      <w:tblGrid>
        <w:gridCol w:w="5366"/>
        <w:gridCol w:w="163"/>
        <w:gridCol w:w="4254"/>
      </w:tblGrid>
      <w:tr w:rsidR="00427096" w:rsidRPr="00D36E68" w:rsidTr="003A5A51">
        <w:tc>
          <w:tcPr>
            <w:tcW w:w="5366" w:type="dxa"/>
          </w:tcPr>
          <w:p w:rsidR="00427096" w:rsidRPr="00D36E68" w:rsidRDefault="00427096" w:rsidP="00D36E68">
            <w:pPr>
              <w:spacing w:line="276" w:lineRule="auto"/>
              <w:contextualSpacing/>
              <w:jc w:val="center"/>
              <w:rPr>
                <w:rFonts w:ascii="Arial" w:hAnsi="Arial" w:cs="Arial"/>
                <w:bCs/>
                <w:sz w:val="20"/>
                <w:szCs w:val="20"/>
              </w:rPr>
            </w:pPr>
            <w:r w:rsidRPr="00D36E68">
              <w:rPr>
                <w:rFonts w:ascii="Arial" w:hAnsi="Arial" w:cs="Arial"/>
                <w:sz w:val="20"/>
                <w:szCs w:val="20"/>
              </w:rPr>
              <w:t xml:space="preserve">___________________________________________ </w:t>
            </w:r>
          </w:p>
          <w:p w:rsidR="00427096" w:rsidRPr="00D36E68" w:rsidRDefault="00427096" w:rsidP="00D36E68">
            <w:pPr>
              <w:pStyle w:val="Ttulo1"/>
              <w:spacing w:before="0" w:line="276" w:lineRule="auto"/>
              <w:contextualSpacing/>
              <w:jc w:val="center"/>
              <w:rPr>
                <w:rFonts w:ascii="Arial" w:eastAsia="MS Mincho" w:hAnsi="Arial" w:cs="Arial"/>
                <w:sz w:val="20"/>
                <w:szCs w:val="20"/>
              </w:rPr>
            </w:pPr>
            <w:r w:rsidRPr="00D36E68">
              <w:rPr>
                <w:rFonts w:ascii="Arial" w:eastAsia="MS Mincho" w:hAnsi="Arial" w:cs="Arial"/>
                <w:sz w:val="20"/>
                <w:szCs w:val="20"/>
              </w:rPr>
              <w:t>MIRIAM GUADALUPE HERRERA SEGURA</w:t>
            </w:r>
          </w:p>
          <w:p w:rsidR="00427096" w:rsidRPr="00D36E68" w:rsidRDefault="00427096" w:rsidP="00D36E68">
            <w:pPr>
              <w:pStyle w:val="Ttulo1"/>
              <w:spacing w:before="0" w:line="276" w:lineRule="auto"/>
              <w:contextualSpacing/>
              <w:jc w:val="center"/>
              <w:rPr>
                <w:rFonts w:ascii="Arial" w:hAnsi="Arial" w:cs="Arial"/>
                <w:b w:val="0"/>
                <w:sz w:val="20"/>
                <w:szCs w:val="20"/>
              </w:rPr>
            </w:pPr>
            <w:r w:rsidRPr="00D36E68">
              <w:rPr>
                <w:rFonts w:ascii="Arial" w:hAnsi="Arial" w:cs="Arial"/>
                <w:b w:val="0"/>
                <w:sz w:val="20"/>
                <w:szCs w:val="20"/>
                <w:lang w:val="es-MX"/>
              </w:rPr>
              <w:t xml:space="preserve">Directora de Planeación y </w:t>
            </w:r>
            <w:r w:rsidRPr="00D36E68">
              <w:rPr>
                <w:rFonts w:ascii="Arial" w:hAnsi="Arial" w:cs="Arial"/>
                <w:b w:val="0"/>
                <w:sz w:val="20"/>
                <w:szCs w:val="20"/>
              </w:rPr>
              <w:t>Titular de la Unidad de Transparencia</w:t>
            </w:r>
          </w:p>
          <w:p w:rsidR="00427096" w:rsidRPr="00D36E68" w:rsidRDefault="00427096" w:rsidP="00D36E68">
            <w:pPr>
              <w:spacing w:line="276" w:lineRule="auto"/>
              <w:rPr>
                <w:rFonts w:ascii="Arial" w:hAnsi="Arial" w:cs="Arial"/>
                <w:sz w:val="20"/>
                <w:szCs w:val="20"/>
                <w:lang w:val="es-ES_tradnl" w:eastAsia="es-ES"/>
              </w:rPr>
            </w:pPr>
          </w:p>
        </w:tc>
        <w:tc>
          <w:tcPr>
            <w:tcW w:w="163" w:type="dxa"/>
          </w:tcPr>
          <w:p w:rsidR="00427096" w:rsidRPr="00D36E68" w:rsidRDefault="00427096" w:rsidP="00D36E68">
            <w:pPr>
              <w:spacing w:line="276" w:lineRule="auto"/>
              <w:ind w:left="188"/>
              <w:contextualSpacing/>
              <w:jc w:val="center"/>
              <w:rPr>
                <w:rFonts w:ascii="Arial" w:hAnsi="Arial" w:cs="Arial"/>
                <w:sz w:val="20"/>
                <w:szCs w:val="20"/>
              </w:rPr>
            </w:pPr>
          </w:p>
        </w:tc>
        <w:tc>
          <w:tcPr>
            <w:tcW w:w="4254" w:type="dxa"/>
          </w:tcPr>
          <w:p w:rsidR="00427096" w:rsidRPr="00D36E68" w:rsidRDefault="00427096" w:rsidP="00D36E68">
            <w:pPr>
              <w:pBdr>
                <w:bottom w:val="single" w:sz="4" w:space="1" w:color="auto"/>
              </w:pBdr>
              <w:spacing w:line="276" w:lineRule="auto"/>
              <w:ind w:left="188"/>
              <w:contextualSpacing/>
              <w:jc w:val="center"/>
              <w:rPr>
                <w:rFonts w:ascii="Arial" w:hAnsi="Arial" w:cs="Arial"/>
                <w:sz w:val="20"/>
                <w:szCs w:val="20"/>
              </w:rPr>
            </w:pPr>
          </w:p>
          <w:p w:rsidR="00427096" w:rsidRPr="00D36E68" w:rsidRDefault="00484217" w:rsidP="00D36E68">
            <w:pPr>
              <w:pStyle w:val="Textbody"/>
              <w:spacing w:line="276" w:lineRule="auto"/>
              <w:jc w:val="center"/>
              <w:rPr>
                <w:rFonts w:ascii="Arial" w:eastAsia="MS Mincho" w:hAnsi="Arial" w:cs="Arial"/>
                <w:b/>
                <w:kern w:val="0"/>
                <w:sz w:val="20"/>
                <w:lang w:val="es-ES_tradnl" w:eastAsia="es-ES"/>
              </w:rPr>
            </w:pPr>
            <w:r>
              <w:rPr>
                <w:rFonts w:ascii="Arial" w:eastAsia="MS Mincho" w:hAnsi="Arial" w:cs="Arial"/>
                <w:b/>
                <w:kern w:val="0"/>
                <w:sz w:val="20"/>
                <w:lang w:val="es-ES_tradnl" w:eastAsia="es-ES"/>
              </w:rPr>
              <w:t>HÉ</w:t>
            </w:r>
            <w:r w:rsidR="00427096" w:rsidRPr="00D36E68">
              <w:rPr>
                <w:rFonts w:ascii="Arial" w:eastAsia="MS Mincho" w:hAnsi="Arial" w:cs="Arial"/>
                <w:b/>
                <w:kern w:val="0"/>
                <w:sz w:val="20"/>
                <w:lang w:val="es-ES_tradnl" w:eastAsia="es-ES"/>
              </w:rPr>
              <w:t>CTOR OLIVARES CLAVIJO</w:t>
            </w:r>
          </w:p>
          <w:p w:rsidR="00427096" w:rsidRPr="00D36E68" w:rsidRDefault="00427096" w:rsidP="00D36E68">
            <w:pPr>
              <w:spacing w:line="276" w:lineRule="auto"/>
              <w:ind w:left="188"/>
              <w:contextualSpacing/>
              <w:jc w:val="center"/>
              <w:rPr>
                <w:rFonts w:ascii="Arial" w:hAnsi="Arial" w:cs="Arial"/>
                <w:sz w:val="20"/>
                <w:szCs w:val="20"/>
              </w:rPr>
            </w:pPr>
            <w:r w:rsidRPr="00D36E68">
              <w:rPr>
                <w:rFonts w:ascii="Arial" w:eastAsiaTheme="majorEastAsia" w:hAnsi="Arial" w:cs="Arial"/>
                <w:sz w:val="20"/>
                <w:szCs w:val="20"/>
                <w:lang w:eastAsia="es-ES"/>
              </w:rPr>
              <w:t>Jefe del Departamento de Hemerobiblioteca y Coordinador General de Archivos del Hospital In</w:t>
            </w:r>
            <w:r w:rsidR="006B56D9" w:rsidRPr="00D36E68">
              <w:rPr>
                <w:rFonts w:ascii="Arial" w:eastAsiaTheme="majorEastAsia" w:hAnsi="Arial" w:cs="Arial"/>
                <w:sz w:val="20"/>
                <w:szCs w:val="20"/>
                <w:lang w:eastAsia="es-ES"/>
              </w:rPr>
              <w:t>fantil de México Federico Gómez</w:t>
            </w:r>
          </w:p>
        </w:tc>
      </w:tr>
    </w:tbl>
    <w:p w:rsidR="00427096" w:rsidRPr="00D36E68" w:rsidRDefault="00427096" w:rsidP="00D36E68">
      <w:pPr>
        <w:spacing w:line="276" w:lineRule="auto"/>
        <w:contextualSpacing/>
        <w:rPr>
          <w:rFonts w:ascii="Arial" w:hAnsi="Arial" w:cs="Arial"/>
          <w:sz w:val="20"/>
          <w:szCs w:val="20"/>
        </w:rPr>
      </w:pPr>
    </w:p>
    <w:p w:rsidR="00427096" w:rsidRPr="00D36E68" w:rsidRDefault="00427096" w:rsidP="00D36E68">
      <w:pPr>
        <w:spacing w:line="276" w:lineRule="auto"/>
        <w:contextualSpacing/>
        <w:rPr>
          <w:rFonts w:ascii="Arial" w:hAnsi="Arial" w:cs="Arial"/>
          <w:sz w:val="20"/>
          <w:szCs w:val="20"/>
        </w:rPr>
      </w:pPr>
    </w:p>
    <w:p w:rsidR="00427096" w:rsidRPr="00D36E68" w:rsidRDefault="00427096" w:rsidP="00D36E68">
      <w:pPr>
        <w:spacing w:line="276" w:lineRule="auto"/>
        <w:contextualSpacing/>
        <w:rPr>
          <w:rFonts w:ascii="Arial" w:hAnsi="Arial" w:cs="Arial"/>
          <w:sz w:val="20"/>
          <w:szCs w:val="20"/>
        </w:rPr>
      </w:pPr>
      <w:bookmarkStart w:id="0" w:name="_GoBack"/>
      <w:bookmarkEnd w:id="0"/>
    </w:p>
    <w:p w:rsidR="008B7B48" w:rsidRPr="00D36E68" w:rsidRDefault="008B7B48" w:rsidP="00D36E68">
      <w:pPr>
        <w:spacing w:line="276" w:lineRule="auto"/>
        <w:contextualSpacing/>
        <w:rPr>
          <w:rFonts w:ascii="Arial" w:hAnsi="Arial" w:cs="Arial"/>
          <w:sz w:val="20"/>
          <w:szCs w:val="20"/>
        </w:rPr>
      </w:pPr>
    </w:p>
    <w:p w:rsidR="00427096" w:rsidRPr="00D36E68" w:rsidRDefault="00427096" w:rsidP="00D36E68">
      <w:pPr>
        <w:spacing w:line="276" w:lineRule="auto"/>
        <w:contextualSpacing/>
        <w:jc w:val="center"/>
        <w:rPr>
          <w:rFonts w:ascii="Arial" w:hAnsi="Arial" w:cs="Arial"/>
          <w:sz w:val="20"/>
          <w:szCs w:val="20"/>
        </w:rPr>
      </w:pPr>
      <w:r w:rsidRPr="00D36E68">
        <w:rPr>
          <w:rFonts w:ascii="Arial" w:hAnsi="Arial" w:cs="Arial"/>
          <w:sz w:val="20"/>
          <w:szCs w:val="20"/>
        </w:rPr>
        <w:t>____________________________________________</w:t>
      </w:r>
    </w:p>
    <w:p w:rsidR="00F05FB9" w:rsidRPr="00D36E68" w:rsidRDefault="0014531F" w:rsidP="00D36E68">
      <w:pPr>
        <w:spacing w:line="276" w:lineRule="auto"/>
        <w:jc w:val="center"/>
        <w:rPr>
          <w:rFonts w:ascii="Arial" w:hAnsi="Arial" w:cs="Arial"/>
          <w:sz w:val="20"/>
          <w:szCs w:val="20"/>
        </w:rPr>
      </w:pPr>
      <w:r w:rsidRPr="00D36E68">
        <w:rPr>
          <w:rFonts w:ascii="Arial" w:hAnsi="Arial" w:cs="Arial"/>
          <w:b/>
          <w:sz w:val="20"/>
          <w:szCs w:val="20"/>
        </w:rPr>
        <w:t>DIANA PAOLA CERÓN RUÍZ</w:t>
      </w:r>
    </w:p>
    <w:p w:rsidR="00F05FB9" w:rsidRPr="00D36E68" w:rsidRDefault="00F05FB9" w:rsidP="00D36E68">
      <w:pPr>
        <w:spacing w:line="276" w:lineRule="auto"/>
        <w:jc w:val="center"/>
        <w:rPr>
          <w:rFonts w:ascii="Arial" w:eastAsiaTheme="majorEastAsia" w:hAnsi="Arial" w:cs="Arial"/>
          <w:sz w:val="20"/>
          <w:szCs w:val="20"/>
          <w:lang w:eastAsia="es-ES"/>
        </w:rPr>
      </w:pPr>
      <w:r w:rsidRPr="00D36E68">
        <w:rPr>
          <w:rFonts w:ascii="Arial" w:eastAsiaTheme="majorEastAsia" w:hAnsi="Arial" w:cs="Arial"/>
          <w:sz w:val="20"/>
          <w:szCs w:val="20"/>
          <w:lang w:eastAsia="es-ES"/>
        </w:rPr>
        <w:t>Jef</w:t>
      </w:r>
      <w:r w:rsidR="0014531F" w:rsidRPr="00D36E68">
        <w:rPr>
          <w:rFonts w:ascii="Arial" w:eastAsiaTheme="majorEastAsia" w:hAnsi="Arial" w:cs="Arial"/>
          <w:sz w:val="20"/>
          <w:szCs w:val="20"/>
          <w:lang w:eastAsia="es-ES"/>
        </w:rPr>
        <w:t>a</w:t>
      </w:r>
      <w:r w:rsidRPr="00D36E68">
        <w:rPr>
          <w:rFonts w:ascii="Arial" w:eastAsiaTheme="majorEastAsia" w:hAnsi="Arial" w:cs="Arial"/>
          <w:sz w:val="20"/>
          <w:szCs w:val="20"/>
          <w:lang w:eastAsia="es-ES"/>
        </w:rPr>
        <w:t xml:space="preserve"> de </w:t>
      </w:r>
      <w:r w:rsidR="0014531F" w:rsidRPr="00D36E68">
        <w:rPr>
          <w:rFonts w:ascii="Arial" w:eastAsiaTheme="majorEastAsia" w:hAnsi="Arial" w:cs="Arial"/>
          <w:sz w:val="20"/>
          <w:szCs w:val="20"/>
          <w:lang w:eastAsia="es-ES"/>
        </w:rPr>
        <w:t>la Oficina de Representación</w:t>
      </w:r>
      <w:r w:rsidRPr="00D36E68">
        <w:rPr>
          <w:rFonts w:ascii="Arial" w:eastAsiaTheme="majorEastAsia" w:hAnsi="Arial" w:cs="Arial"/>
          <w:sz w:val="20"/>
          <w:szCs w:val="20"/>
          <w:lang w:eastAsia="es-ES"/>
        </w:rPr>
        <w:t xml:space="preserve"> en el HIMFG, en suplencia</w:t>
      </w:r>
    </w:p>
    <w:p w:rsidR="00F05FB9" w:rsidRPr="00D36E68" w:rsidRDefault="00F05FB9" w:rsidP="00D36E68">
      <w:pPr>
        <w:spacing w:line="276" w:lineRule="auto"/>
        <w:jc w:val="center"/>
        <w:rPr>
          <w:rFonts w:ascii="Arial" w:eastAsiaTheme="majorEastAsia" w:hAnsi="Arial" w:cs="Arial"/>
          <w:sz w:val="20"/>
          <w:szCs w:val="20"/>
          <w:lang w:eastAsia="es-ES"/>
        </w:rPr>
      </w:pPr>
      <w:r w:rsidRPr="00D36E68">
        <w:rPr>
          <w:rFonts w:ascii="Arial" w:eastAsiaTheme="majorEastAsia" w:hAnsi="Arial" w:cs="Arial"/>
          <w:sz w:val="20"/>
          <w:szCs w:val="20"/>
          <w:lang w:eastAsia="es-ES"/>
        </w:rPr>
        <w:t xml:space="preserve"> </w:t>
      </w:r>
      <w:proofErr w:type="gramStart"/>
      <w:r w:rsidRPr="00D36E68">
        <w:rPr>
          <w:rFonts w:ascii="Arial" w:eastAsiaTheme="majorEastAsia" w:hAnsi="Arial" w:cs="Arial"/>
          <w:sz w:val="20"/>
          <w:szCs w:val="20"/>
          <w:lang w:eastAsia="es-ES"/>
        </w:rPr>
        <w:t>de</w:t>
      </w:r>
      <w:proofErr w:type="gramEnd"/>
      <w:r w:rsidRPr="00D36E68">
        <w:rPr>
          <w:rFonts w:ascii="Arial" w:eastAsiaTheme="majorEastAsia" w:hAnsi="Arial" w:cs="Arial"/>
          <w:sz w:val="20"/>
          <w:szCs w:val="20"/>
          <w:lang w:eastAsia="es-ES"/>
        </w:rPr>
        <w:t xml:space="preserve"> LINDA PILAR BLANCAS GARCÉS, Titular del Órgano Interno</w:t>
      </w:r>
    </w:p>
    <w:p w:rsidR="00F05FB9" w:rsidRPr="00C01EEF" w:rsidRDefault="00BF2251" w:rsidP="00C01EEF">
      <w:pPr>
        <w:spacing w:line="276" w:lineRule="auto"/>
        <w:jc w:val="center"/>
        <w:rPr>
          <w:rFonts w:ascii="Arial" w:eastAsiaTheme="majorEastAsia" w:hAnsi="Arial" w:cs="Arial"/>
          <w:sz w:val="20"/>
          <w:szCs w:val="20"/>
          <w:lang w:eastAsia="es-ES"/>
        </w:rPr>
      </w:pPr>
      <w:r w:rsidRPr="00D36E68">
        <w:rPr>
          <w:rFonts w:ascii="Arial" w:eastAsiaTheme="majorEastAsia" w:hAnsi="Arial" w:cs="Arial"/>
          <w:sz w:val="20"/>
          <w:szCs w:val="20"/>
          <w:lang w:eastAsia="es-ES"/>
        </w:rPr>
        <w:t xml:space="preserve"> </w:t>
      </w:r>
      <w:proofErr w:type="gramStart"/>
      <w:r w:rsidRPr="00D36E68">
        <w:rPr>
          <w:rFonts w:ascii="Arial" w:eastAsiaTheme="majorEastAsia" w:hAnsi="Arial" w:cs="Arial"/>
          <w:sz w:val="20"/>
          <w:szCs w:val="20"/>
          <w:lang w:eastAsia="es-ES"/>
        </w:rPr>
        <w:t>de</w:t>
      </w:r>
      <w:proofErr w:type="gramEnd"/>
      <w:r w:rsidRPr="00D36E68">
        <w:rPr>
          <w:rFonts w:ascii="Arial" w:eastAsiaTheme="majorEastAsia" w:hAnsi="Arial" w:cs="Arial"/>
          <w:sz w:val="20"/>
          <w:szCs w:val="20"/>
          <w:lang w:eastAsia="es-ES"/>
        </w:rPr>
        <w:t xml:space="preserve"> Control e</w:t>
      </w:r>
      <w:r w:rsidR="00F05FB9" w:rsidRPr="00D36E68">
        <w:rPr>
          <w:rFonts w:ascii="Arial" w:eastAsiaTheme="majorEastAsia" w:hAnsi="Arial" w:cs="Arial"/>
          <w:sz w:val="20"/>
          <w:szCs w:val="20"/>
          <w:lang w:eastAsia="es-ES"/>
        </w:rPr>
        <w:t>n la Secretar</w:t>
      </w:r>
      <w:r w:rsidR="006B56D9" w:rsidRPr="00D36E68">
        <w:rPr>
          <w:rFonts w:ascii="Arial" w:eastAsiaTheme="majorEastAsia" w:hAnsi="Arial" w:cs="Arial"/>
          <w:sz w:val="20"/>
          <w:szCs w:val="20"/>
          <w:lang w:eastAsia="es-ES"/>
        </w:rPr>
        <w:t>í</w:t>
      </w:r>
      <w:r w:rsidR="00F05FB9" w:rsidRPr="00D36E68">
        <w:rPr>
          <w:rFonts w:ascii="Arial" w:eastAsiaTheme="majorEastAsia" w:hAnsi="Arial" w:cs="Arial"/>
          <w:sz w:val="20"/>
          <w:szCs w:val="20"/>
          <w:lang w:eastAsia="es-ES"/>
        </w:rPr>
        <w:t>a de Salud</w:t>
      </w:r>
    </w:p>
    <w:sectPr w:rsidR="00F05FB9" w:rsidRPr="00C01EEF">
      <w:headerReference w:type="default" r:id="rId13"/>
      <w:footerReference w:type="default" r:id="rId14"/>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B57" w:rsidRDefault="00C17B57">
      <w:r>
        <w:separator/>
      </w:r>
    </w:p>
  </w:endnote>
  <w:endnote w:type="continuationSeparator" w:id="0">
    <w:p w:rsidR="00C17B57" w:rsidRDefault="00C1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ontserrat">
    <w:altName w:val="Courier New"/>
    <w:charset w:val="00"/>
    <w:family w:val="auto"/>
    <w:pitch w:val="variable"/>
    <w:sig w:usb0="00000001" w:usb1="00000003" w:usb2="00000000" w:usb3="00000000" w:csb0="00000197" w:csb1="00000000"/>
  </w:font>
  <w:font w:name="Geomanist">
    <w:panose1 w:val="02000503000000020004"/>
    <w:charset w:val="00"/>
    <w:family w:val="modern"/>
    <w:notTrueType/>
    <w:pitch w:val="variable"/>
    <w:sig w:usb0="A000002F" w:usb1="1000004A" w:usb2="00000000" w:usb3="00000000" w:csb0="00000193" w:csb1="00000000"/>
  </w:font>
  <w:font w:name="No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2D" w:rsidRDefault="008A0A04" w:rsidP="008A0A04">
    <w:pPr>
      <w:pBdr>
        <w:top w:val="nil"/>
        <w:left w:val="nil"/>
        <w:bottom w:val="nil"/>
        <w:right w:val="nil"/>
        <w:between w:val="nil"/>
      </w:pBdr>
      <w:tabs>
        <w:tab w:val="center" w:pos="4419"/>
        <w:tab w:val="right" w:pos="8838"/>
      </w:tabs>
      <w:jc w:val="center"/>
      <w:rPr>
        <w:color w:val="000000"/>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484217">
      <w:rPr>
        <w:rFonts w:ascii="Montserrat" w:hAnsi="Montserrat"/>
        <w:noProof/>
        <w:sz w:val="14"/>
        <w:szCs w:val="16"/>
      </w:rPr>
      <w:t>7</w:t>
    </w:r>
    <w:r w:rsidRPr="00574E87">
      <w:rPr>
        <w:rFonts w:ascii="Montserrat" w:hAnsi="Montserrat"/>
        <w:b/>
        <w:bCs/>
        <w:noProof/>
        <w:sz w:val="14"/>
        <w:szCs w:val="16"/>
      </w:rPr>
      <w:fldChar w:fldCharType="end"/>
    </w:r>
    <w:r w:rsidR="00F05FB9">
      <w:rPr>
        <w:rFonts w:ascii="Montserrat" w:hAnsi="Montserrat"/>
        <w:b/>
        <w:bCs/>
        <w:noProof/>
        <w:sz w:val="14"/>
        <w:szCs w:val="16"/>
      </w:rPr>
      <w:t xml:space="preserve">  /  </w:t>
    </w:r>
    <w:r w:rsidR="00C01EEF">
      <w:rPr>
        <w:rFonts w:ascii="Montserrat" w:hAnsi="Montserrat"/>
        <w:b/>
        <w:bCs/>
        <w:noProof/>
        <w:sz w:val="14"/>
        <w:szCs w:val="16"/>
      </w:rPr>
      <w:t>7</w:t>
    </w:r>
    <w:r w:rsidR="009E6392"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DD747A"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DD747A"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  www.himfg.edu</w:t>
                          </w:r>
                          <w:r w:rsidR="009E6392" w:rsidRPr="009E6392">
                            <w:rPr>
                              <w:rFonts w:ascii="Noto Sans" w:eastAsia="Noto Sans" w:hAnsi="Noto Sans" w:cs="Noto Sans"/>
                              <w:color w:val="4D192A"/>
                              <w:sz w:val="13"/>
                            </w:rPr>
                            <w:t>.mx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left:0;text-align:left;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DD747A"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DD747A"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 xml:space="preserve">Tel. 55 5228 99 </w:t>
                    </w:r>
                    <w:proofErr w:type="gramStart"/>
                    <w:r>
                      <w:rPr>
                        <w:rFonts w:ascii="Noto Sans" w:eastAsia="Noto Sans" w:hAnsi="Noto Sans" w:cs="Noto Sans"/>
                        <w:color w:val="4D192A"/>
                        <w:sz w:val="13"/>
                      </w:rPr>
                      <w:t>17  Ext</w:t>
                    </w:r>
                    <w:proofErr w:type="gramEnd"/>
                    <w:r>
                      <w:rPr>
                        <w:rFonts w:ascii="Noto Sans" w:eastAsia="Noto Sans" w:hAnsi="Noto Sans" w:cs="Noto Sans"/>
                        <w:color w:val="4D192A"/>
                        <w:sz w:val="13"/>
                      </w:rPr>
                      <w:t xml:space="preserve">. </w:t>
                    </w:r>
                    <w:proofErr w:type="gramStart"/>
                    <w:r>
                      <w:rPr>
                        <w:rFonts w:ascii="Noto Sans" w:eastAsia="Noto Sans" w:hAnsi="Noto Sans" w:cs="Noto Sans"/>
                        <w:color w:val="4D192A"/>
                        <w:sz w:val="13"/>
                      </w:rPr>
                      <w:t>2505  www.himfg.edu</w:t>
                    </w:r>
                    <w:r w:rsidR="009E6392" w:rsidRPr="009E6392">
                      <w:rPr>
                        <w:rFonts w:ascii="Noto Sans" w:eastAsia="Noto Sans" w:hAnsi="Noto Sans" w:cs="Noto Sans"/>
                        <w:color w:val="4D192A"/>
                        <w:sz w:val="13"/>
                      </w:rPr>
                      <w:t>.mx</w:t>
                    </w:r>
                    <w:proofErr w:type="gramEnd"/>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B57" w:rsidRDefault="00C17B57">
      <w:r>
        <w:separator/>
      </w:r>
    </w:p>
  </w:footnote>
  <w:footnote w:type="continuationSeparator" w:id="0">
    <w:p w:rsidR="00C17B57" w:rsidRDefault="00C17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8E4B2D">
    <w:pPr>
      <w:jc w:val="center"/>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1F606B" w:rsidRDefault="00FE1AD3" w:rsidP="00FE1AD3">
                          <w:pPr>
                            <w:jc w:val="right"/>
                            <w:rPr>
                              <w:rFonts w:ascii="Geomanist" w:eastAsiaTheme="minorHAnsi" w:hAnsi="Geomanist" w:cstheme="minorBidi"/>
                              <w:color w:val="595959" w:themeColor="text1" w:themeTint="A6"/>
                              <w:sz w:val="18"/>
                              <w:szCs w:val="18"/>
                              <w:lang w:eastAsia="en-US"/>
                            </w:rPr>
                          </w:pPr>
                          <w:r w:rsidRPr="001F606B">
                            <w:rPr>
                              <w:rFonts w:ascii="Geomanist" w:eastAsiaTheme="minorHAnsi" w:hAnsi="Geomanist" w:cstheme="minorBidi"/>
                              <w:color w:val="595959" w:themeColor="text1" w:themeTint="A6"/>
                              <w:sz w:val="18"/>
                              <w:szCs w:val="18"/>
                              <w:lang w:eastAsia="en-US"/>
                            </w:rPr>
                            <w:t>Hospital Infantil de México Federico Gómez</w:t>
                          </w:r>
                        </w:p>
                        <w:p w:rsidR="00FE1AD3" w:rsidRPr="001F606B" w:rsidRDefault="00FE1AD3" w:rsidP="00FE1AD3">
                          <w:pPr>
                            <w:rPr>
                              <w:rFonts w:ascii="Geomanist" w:eastAsiaTheme="minorHAnsi" w:hAnsi="Geomanist" w:cstheme="minorBidi"/>
                              <w:color w:val="595959" w:themeColor="text1" w:themeTint="A6"/>
                              <w:sz w:val="18"/>
                              <w:szCs w:val="18"/>
                              <w:lang w:eastAsia="en-US"/>
                            </w:rPr>
                          </w:pPr>
                          <w:r w:rsidRPr="001F606B">
                            <w:rPr>
                              <w:rFonts w:ascii="Geomanist" w:eastAsiaTheme="minorHAnsi" w:hAnsi="Geomanist" w:cstheme="minorBidi"/>
                              <w:color w:val="595959" w:themeColor="text1" w:themeTint="A6"/>
                              <w:sz w:val="18"/>
                              <w:szCs w:val="18"/>
                              <w:lang w:eastAsia="en-US"/>
                            </w:rPr>
                            <w:t xml:space="preserve">               </w:t>
                          </w:r>
                          <w:r w:rsidR="008E4B2D" w:rsidRPr="001F606B">
                            <w:rPr>
                              <w:rFonts w:ascii="Geomanist" w:eastAsiaTheme="minorHAnsi" w:hAnsi="Geomanist" w:cstheme="minorBidi"/>
                              <w:color w:val="595959" w:themeColor="text1" w:themeTint="A6"/>
                              <w:sz w:val="18"/>
                              <w:szCs w:val="18"/>
                              <w:lang w:eastAsia="en-US"/>
                            </w:rPr>
                            <w:t xml:space="preserve">                 </w:t>
                          </w:r>
                          <w:r w:rsidR="00F561F1" w:rsidRPr="001F606B">
                            <w:rPr>
                              <w:rFonts w:ascii="Geomanist" w:eastAsiaTheme="minorHAnsi" w:hAnsi="Geomanist" w:cstheme="minorBidi"/>
                              <w:color w:val="595959" w:themeColor="text1" w:themeTint="A6"/>
                              <w:sz w:val="18"/>
                              <w:szCs w:val="18"/>
                              <w:lang w:eastAsia="en-US"/>
                            </w:rPr>
                            <w:t xml:space="preserve">               </w:t>
                          </w:r>
                          <w:r w:rsidRPr="001F606B">
                            <w:rPr>
                              <w:rFonts w:ascii="Geomanist" w:eastAsiaTheme="minorHAnsi" w:hAnsi="Geomanist" w:cstheme="minorBidi"/>
                              <w:color w:val="595959" w:themeColor="text1" w:themeTint="A6"/>
                              <w:sz w:val="18"/>
                              <w:szCs w:val="18"/>
                              <w:lang w:eastAsia="en-US"/>
                            </w:rPr>
                            <w:t>Instituto Nacional de Salud.</w:t>
                          </w:r>
                        </w:p>
                        <w:p w:rsidR="00FE1AD3" w:rsidRPr="001F606B" w:rsidRDefault="00FE1AD3" w:rsidP="00FE1AD3">
                          <w:pPr>
                            <w:rPr>
                              <w:rFonts w:ascii="Geomanist" w:eastAsiaTheme="minorHAnsi" w:hAnsi="Geomanist" w:cstheme="minorBidi"/>
                              <w:color w:val="595959" w:themeColor="text1" w:themeTint="A6"/>
                              <w:sz w:val="18"/>
                              <w:szCs w:val="18"/>
                              <w:lang w:eastAsia="en-US"/>
                            </w:rPr>
                          </w:pPr>
                        </w:p>
                        <w:p w:rsidR="00FE1AD3" w:rsidRPr="001F606B" w:rsidRDefault="008E4B2D" w:rsidP="00FE1AD3">
                          <w:pPr>
                            <w:jc w:val="right"/>
                            <w:rPr>
                              <w:rFonts w:ascii="Geomanist" w:hAnsi="Geomanist"/>
                              <w:color w:val="000000"/>
                              <w:sz w:val="18"/>
                              <w:szCs w:val="18"/>
                            </w:rPr>
                          </w:pPr>
                          <w:r w:rsidRPr="001F606B">
                            <w:rPr>
                              <w:rFonts w:ascii="Geomanist" w:eastAsiaTheme="minorHAnsi" w:hAnsi="Geomanist" w:cstheme="minorBidi"/>
                              <w:color w:val="595959" w:themeColor="text1" w:themeTint="A6"/>
                              <w:sz w:val="18"/>
                              <w:szCs w:val="18"/>
                              <w:lang w:eastAsia="en-US"/>
                            </w:rPr>
                            <w:t>Comité de Transparencia</w:t>
                          </w:r>
                        </w:p>
                        <w:p w:rsidR="00FE1AD3" w:rsidRPr="001F606B" w:rsidRDefault="008E4B2D" w:rsidP="008E4B2D">
                          <w:pPr>
                            <w:jc w:val="right"/>
                            <w:rPr>
                              <w:rFonts w:ascii="Geomanist" w:hAnsi="Geomanist"/>
                              <w:sz w:val="18"/>
                              <w:szCs w:val="18"/>
                            </w:rPr>
                          </w:pPr>
                          <w:r w:rsidRPr="001F606B">
                            <w:rPr>
                              <w:rFonts w:ascii="Geomanist" w:hAnsi="Geomanist"/>
                              <w:sz w:val="18"/>
                              <w:szCs w:val="18"/>
                            </w:rPr>
                            <w:t>1</w:t>
                          </w:r>
                          <w:r w:rsidR="00002260" w:rsidRPr="001F606B">
                            <w:rPr>
                              <w:rFonts w:ascii="Geomanist" w:hAnsi="Geomanist"/>
                              <w:sz w:val="18"/>
                              <w:szCs w:val="18"/>
                            </w:rPr>
                            <w:t>6</w:t>
                          </w:r>
                          <w:r w:rsidRPr="001F606B">
                            <w:rPr>
                              <w:rFonts w:ascii="Geomanist" w:hAnsi="Geomanist"/>
                              <w:sz w:val="18"/>
                              <w:szCs w:val="18"/>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1F606B" w:rsidRDefault="00FE1AD3" w:rsidP="00FE1AD3">
                    <w:pPr>
                      <w:jc w:val="right"/>
                      <w:rPr>
                        <w:rFonts w:ascii="Geomanist" w:eastAsiaTheme="minorHAnsi" w:hAnsi="Geomanist" w:cstheme="minorBidi"/>
                        <w:color w:val="595959" w:themeColor="text1" w:themeTint="A6"/>
                        <w:sz w:val="18"/>
                        <w:szCs w:val="18"/>
                        <w:lang w:eastAsia="en-US"/>
                      </w:rPr>
                    </w:pPr>
                    <w:r w:rsidRPr="001F606B">
                      <w:rPr>
                        <w:rFonts w:ascii="Geomanist" w:eastAsiaTheme="minorHAnsi" w:hAnsi="Geomanist" w:cstheme="minorBidi"/>
                        <w:color w:val="595959" w:themeColor="text1" w:themeTint="A6"/>
                        <w:sz w:val="18"/>
                        <w:szCs w:val="18"/>
                        <w:lang w:eastAsia="en-US"/>
                      </w:rPr>
                      <w:t>Hospital Infantil de México Federico Gómez</w:t>
                    </w:r>
                  </w:p>
                  <w:p w:rsidR="00FE1AD3" w:rsidRPr="001F606B" w:rsidRDefault="00FE1AD3" w:rsidP="00FE1AD3">
                    <w:pPr>
                      <w:rPr>
                        <w:rFonts w:ascii="Geomanist" w:eastAsiaTheme="minorHAnsi" w:hAnsi="Geomanist" w:cstheme="minorBidi"/>
                        <w:color w:val="595959" w:themeColor="text1" w:themeTint="A6"/>
                        <w:sz w:val="18"/>
                        <w:szCs w:val="18"/>
                        <w:lang w:eastAsia="en-US"/>
                      </w:rPr>
                    </w:pPr>
                    <w:r w:rsidRPr="001F606B">
                      <w:rPr>
                        <w:rFonts w:ascii="Geomanist" w:eastAsiaTheme="minorHAnsi" w:hAnsi="Geomanist" w:cstheme="minorBidi"/>
                        <w:color w:val="595959" w:themeColor="text1" w:themeTint="A6"/>
                        <w:sz w:val="18"/>
                        <w:szCs w:val="18"/>
                        <w:lang w:eastAsia="en-US"/>
                      </w:rPr>
                      <w:t xml:space="preserve">               </w:t>
                    </w:r>
                    <w:r w:rsidR="008E4B2D" w:rsidRPr="001F606B">
                      <w:rPr>
                        <w:rFonts w:ascii="Geomanist" w:eastAsiaTheme="minorHAnsi" w:hAnsi="Geomanist" w:cstheme="minorBidi"/>
                        <w:color w:val="595959" w:themeColor="text1" w:themeTint="A6"/>
                        <w:sz w:val="18"/>
                        <w:szCs w:val="18"/>
                        <w:lang w:eastAsia="en-US"/>
                      </w:rPr>
                      <w:t xml:space="preserve">                 </w:t>
                    </w:r>
                    <w:r w:rsidR="00F561F1" w:rsidRPr="001F606B">
                      <w:rPr>
                        <w:rFonts w:ascii="Geomanist" w:eastAsiaTheme="minorHAnsi" w:hAnsi="Geomanist" w:cstheme="minorBidi"/>
                        <w:color w:val="595959" w:themeColor="text1" w:themeTint="A6"/>
                        <w:sz w:val="18"/>
                        <w:szCs w:val="18"/>
                        <w:lang w:eastAsia="en-US"/>
                      </w:rPr>
                      <w:t xml:space="preserve">               </w:t>
                    </w:r>
                    <w:r w:rsidRPr="001F606B">
                      <w:rPr>
                        <w:rFonts w:ascii="Geomanist" w:eastAsiaTheme="minorHAnsi" w:hAnsi="Geomanist" w:cstheme="minorBidi"/>
                        <w:color w:val="595959" w:themeColor="text1" w:themeTint="A6"/>
                        <w:sz w:val="18"/>
                        <w:szCs w:val="18"/>
                        <w:lang w:eastAsia="en-US"/>
                      </w:rPr>
                      <w:t>Instituto Nacional de Salud.</w:t>
                    </w:r>
                  </w:p>
                  <w:p w:rsidR="00FE1AD3" w:rsidRPr="001F606B" w:rsidRDefault="00FE1AD3" w:rsidP="00FE1AD3">
                    <w:pPr>
                      <w:rPr>
                        <w:rFonts w:ascii="Geomanist" w:eastAsiaTheme="minorHAnsi" w:hAnsi="Geomanist" w:cstheme="minorBidi"/>
                        <w:color w:val="595959" w:themeColor="text1" w:themeTint="A6"/>
                        <w:sz w:val="18"/>
                        <w:szCs w:val="18"/>
                        <w:lang w:eastAsia="en-US"/>
                      </w:rPr>
                    </w:pPr>
                  </w:p>
                  <w:p w:rsidR="00FE1AD3" w:rsidRPr="001F606B" w:rsidRDefault="008E4B2D" w:rsidP="00FE1AD3">
                    <w:pPr>
                      <w:jc w:val="right"/>
                      <w:rPr>
                        <w:rFonts w:ascii="Geomanist" w:hAnsi="Geomanist"/>
                        <w:color w:val="000000"/>
                        <w:sz w:val="18"/>
                        <w:szCs w:val="18"/>
                      </w:rPr>
                    </w:pPr>
                    <w:r w:rsidRPr="001F606B">
                      <w:rPr>
                        <w:rFonts w:ascii="Geomanist" w:eastAsiaTheme="minorHAnsi" w:hAnsi="Geomanist" w:cstheme="minorBidi"/>
                        <w:color w:val="595959" w:themeColor="text1" w:themeTint="A6"/>
                        <w:sz w:val="18"/>
                        <w:szCs w:val="18"/>
                        <w:lang w:eastAsia="en-US"/>
                      </w:rPr>
                      <w:t>Comité de Transparencia</w:t>
                    </w:r>
                  </w:p>
                  <w:p w:rsidR="00FE1AD3" w:rsidRPr="001F606B" w:rsidRDefault="008E4B2D" w:rsidP="008E4B2D">
                    <w:pPr>
                      <w:jc w:val="right"/>
                      <w:rPr>
                        <w:rFonts w:ascii="Geomanist" w:hAnsi="Geomanist"/>
                        <w:sz w:val="18"/>
                        <w:szCs w:val="18"/>
                      </w:rPr>
                    </w:pPr>
                    <w:r w:rsidRPr="001F606B">
                      <w:rPr>
                        <w:rFonts w:ascii="Geomanist" w:hAnsi="Geomanist"/>
                        <w:sz w:val="18"/>
                        <w:szCs w:val="18"/>
                      </w:rPr>
                      <w:t>1</w:t>
                    </w:r>
                    <w:r w:rsidR="00002260" w:rsidRPr="001F606B">
                      <w:rPr>
                        <w:rFonts w:ascii="Geomanist" w:hAnsi="Geomanist"/>
                        <w:sz w:val="18"/>
                        <w:szCs w:val="18"/>
                      </w:rPr>
                      <w:t>6</w:t>
                    </w:r>
                    <w:r w:rsidRPr="001F606B">
                      <w:rPr>
                        <w:rFonts w:ascii="Geomanist" w:hAnsi="Geomanist"/>
                        <w:sz w:val="18"/>
                        <w:szCs w:val="18"/>
                      </w:rPr>
                      <w:t>/25</w:t>
                    </w:r>
                  </w:p>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Pr>
        <w:rFonts w:ascii="Montserrat" w:eastAsiaTheme="minorHAnsi" w:hAnsi="Montserrat" w:cstheme="minorBidi"/>
        <w:color w:val="595959" w:themeColor="text1" w:themeTint="A6"/>
        <w:sz w:val="16"/>
        <w:szCs w:val="16"/>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B552DB5"/>
    <w:multiLevelType w:val="multilevel"/>
    <w:tmpl w:val="78501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02260"/>
    <w:rsid w:val="00002969"/>
    <w:rsid w:val="00006207"/>
    <w:rsid w:val="00035D4A"/>
    <w:rsid w:val="000379F4"/>
    <w:rsid w:val="00054B62"/>
    <w:rsid w:val="00066306"/>
    <w:rsid w:val="00086BF8"/>
    <w:rsid w:val="000B1760"/>
    <w:rsid w:val="000C101F"/>
    <w:rsid w:val="000D7CBE"/>
    <w:rsid w:val="001212DF"/>
    <w:rsid w:val="0013785D"/>
    <w:rsid w:val="0014531F"/>
    <w:rsid w:val="001765CD"/>
    <w:rsid w:val="001838CC"/>
    <w:rsid w:val="0019738B"/>
    <w:rsid w:val="001A11D9"/>
    <w:rsid w:val="001A38D0"/>
    <w:rsid w:val="001B139A"/>
    <w:rsid w:val="001B2CBE"/>
    <w:rsid w:val="001B3678"/>
    <w:rsid w:val="001B5953"/>
    <w:rsid w:val="001F606B"/>
    <w:rsid w:val="002154E2"/>
    <w:rsid w:val="0026656A"/>
    <w:rsid w:val="00283747"/>
    <w:rsid w:val="00293666"/>
    <w:rsid w:val="002A313A"/>
    <w:rsid w:val="002B18DE"/>
    <w:rsid w:val="002B5309"/>
    <w:rsid w:val="002D7AAE"/>
    <w:rsid w:val="002F2D47"/>
    <w:rsid w:val="00320367"/>
    <w:rsid w:val="0032703E"/>
    <w:rsid w:val="0032776C"/>
    <w:rsid w:val="00336F0F"/>
    <w:rsid w:val="00337B7D"/>
    <w:rsid w:val="00356F81"/>
    <w:rsid w:val="003800A1"/>
    <w:rsid w:val="003836E7"/>
    <w:rsid w:val="003D47AD"/>
    <w:rsid w:val="003E4DD1"/>
    <w:rsid w:val="00414BAE"/>
    <w:rsid w:val="00425AE0"/>
    <w:rsid w:val="00427096"/>
    <w:rsid w:val="004550D5"/>
    <w:rsid w:val="00467185"/>
    <w:rsid w:val="00467CC3"/>
    <w:rsid w:val="0048369F"/>
    <w:rsid w:val="00484217"/>
    <w:rsid w:val="004A33B9"/>
    <w:rsid w:val="004A6FE7"/>
    <w:rsid w:val="004B5EB3"/>
    <w:rsid w:val="004C1698"/>
    <w:rsid w:val="004C307B"/>
    <w:rsid w:val="00507006"/>
    <w:rsid w:val="00533D4D"/>
    <w:rsid w:val="00545E7B"/>
    <w:rsid w:val="00572297"/>
    <w:rsid w:val="0057584C"/>
    <w:rsid w:val="00591EDA"/>
    <w:rsid w:val="005D514E"/>
    <w:rsid w:val="00600EC7"/>
    <w:rsid w:val="006606FE"/>
    <w:rsid w:val="00666BB1"/>
    <w:rsid w:val="00674AD1"/>
    <w:rsid w:val="006B56D9"/>
    <w:rsid w:val="006B7912"/>
    <w:rsid w:val="006C372F"/>
    <w:rsid w:val="006D2CCC"/>
    <w:rsid w:val="006E5CCD"/>
    <w:rsid w:val="006E65C4"/>
    <w:rsid w:val="006F1465"/>
    <w:rsid w:val="007127C2"/>
    <w:rsid w:val="007338C8"/>
    <w:rsid w:val="007466C5"/>
    <w:rsid w:val="00750996"/>
    <w:rsid w:val="00796618"/>
    <w:rsid w:val="007E48EA"/>
    <w:rsid w:val="007E7DDE"/>
    <w:rsid w:val="007F0AFC"/>
    <w:rsid w:val="008015CD"/>
    <w:rsid w:val="0082254B"/>
    <w:rsid w:val="008243A6"/>
    <w:rsid w:val="0085200C"/>
    <w:rsid w:val="00870EB5"/>
    <w:rsid w:val="008907BF"/>
    <w:rsid w:val="0089437F"/>
    <w:rsid w:val="00897D7A"/>
    <w:rsid w:val="008A0A04"/>
    <w:rsid w:val="008A5612"/>
    <w:rsid w:val="008B7B48"/>
    <w:rsid w:val="008C634D"/>
    <w:rsid w:val="008D7D4A"/>
    <w:rsid w:val="008E4B2D"/>
    <w:rsid w:val="008F150A"/>
    <w:rsid w:val="008F484E"/>
    <w:rsid w:val="0090628D"/>
    <w:rsid w:val="009228D3"/>
    <w:rsid w:val="009412E3"/>
    <w:rsid w:val="00962EA1"/>
    <w:rsid w:val="00970E4F"/>
    <w:rsid w:val="00971C81"/>
    <w:rsid w:val="00986929"/>
    <w:rsid w:val="009A76C4"/>
    <w:rsid w:val="009C653E"/>
    <w:rsid w:val="009E0649"/>
    <w:rsid w:val="009E07E4"/>
    <w:rsid w:val="009E5B56"/>
    <w:rsid w:val="009E6392"/>
    <w:rsid w:val="00A0630A"/>
    <w:rsid w:val="00A070FB"/>
    <w:rsid w:val="00A150BD"/>
    <w:rsid w:val="00A208AB"/>
    <w:rsid w:val="00A468E5"/>
    <w:rsid w:val="00A503E5"/>
    <w:rsid w:val="00A5193E"/>
    <w:rsid w:val="00A63440"/>
    <w:rsid w:val="00A730C5"/>
    <w:rsid w:val="00A77885"/>
    <w:rsid w:val="00A96D48"/>
    <w:rsid w:val="00AA671A"/>
    <w:rsid w:val="00AF1406"/>
    <w:rsid w:val="00AF27D3"/>
    <w:rsid w:val="00B00D54"/>
    <w:rsid w:val="00B109C5"/>
    <w:rsid w:val="00B2383F"/>
    <w:rsid w:val="00B24653"/>
    <w:rsid w:val="00B27F1B"/>
    <w:rsid w:val="00B3274D"/>
    <w:rsid w:val="00B37048"/>
    <w:rsid w:val="00B52042"/>
    <w:rsid w:val="00B82BFE"/>
    <w:rsid w:val="00BD0DA9"/>
    <w:rsid w:val="00BE6CDC"/>
    <w:rsid w:val="00BF2251"/>
    <w:rsid w:val="00C009C6"/>
    <w:rsid w:val="00C01EEF"/>
    <w:rsid w:val="00C03792"/>
    <w:rsid w:val="00C160B4"/>
    <w:rsid w:val="00C17B57"/>
    <w:rsid w:val="00C4307A"/>
    <w:rsid w:val="00C56D9E"/>
    <w:rsid w:val="00CA2095"/>
    <w:rsid w:val="00CA3240"/>
    <w:rsid w:val="00CC4416"/>
    <w:rsid w:val="00D33492"/>
    <w:rsid w:val="00D36E68"/>
    <w:rsid w:val="00D50C99"/>
    <w:rsid w:val="00D535C4"/>
    <w:rsid w:val="00D557E4"/>
    <w:rsid w:val="00D8418D"/>
    <w:rsid w:val="00DA4FD7"/>
    <w:rsid w:val="00DA73A4"/>
    <w:rsid w:val="00DD747A"/>
    <w:rsid w:val="00DE0B35"/>
    <w:rsid w:val="00E177E4"/>
    <w:rsid w:val="00E3205F"/>
    <w:rsid w:val="00E47352"/>
    <w:rsid w:val="00E746D9"/>
    <w:rsid w:val="00E75A5B"/>
    <w:rsid w:val="00E87F69"/>
    <w:rsid w:val="00EA719A"/>
    <w:rsid w:val="00EA74BD"/>
    <w:rsid w:val="00EF25A3"/>
    <w:rsid w:val="00F005AE"/>
    <w:rsid w:val="00F05FB9"/>
    <w:rsid w:val="00F30C34"/>
    <w:rsid w:val="00F47AB4"/>
    <w:rsid w:val="00F561F1"/>
    <w:rsid w:val="00F870E5"/>
    <w:rsid w:val="00FA1D7D"/>
    <w:rsid w:val="00FA5FA3"/>
    <w:rsid w:val="00FC7A5D"/>
    <w:rsid w:val="00FD192D"/>
    <w:rsid w:val="00FE1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 w:type="table" w:styleId="Tablaconcuadrcula">
    <w:name w:val="Table Grid"/>
    <w:basedOn w:val="Tablanormal"/>
    <w:uiPriority w:val="39"/>
    <w:rsid w:val="00035D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966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6618"/>
    <w:rPr>
      <w:rFonts w:ascii="Segoe UI" w:hAnsi="Segoe UI" w:cs="Segoe UI"/>
      <w:sz w:val="18"/>
      <w:szCs w:val="18"/>
    </w:rPr>
  </w:style>
  <w:style w:type="character" w:styleId="Hipervnculo">
    <w:name w:val="Hyperlink"/>
    <w:basedOn w:val="Fuentedeprrafopredeter"/>
    <w:uiPriority w:val="99"/>
    <w:semiHidden/>
    <w:unhideWhenUsed/>
    <w:rsid w:val="00B82BFE"/>
    <w:rPr>
      <w:color w:val="0000FF" w:themeColor="hyperlink"/>
      <w:u w:val="single"/>
    </w:rPr>
  </w:style>
  <w:style w:type="paragraph" w:styleId="Revisin">
    <w:name w:val="Revision"/>
    <w:hidden/>
    <w:uiPriority w:val="99"/>
    <w:semiHidden/>
    <w:rsid w:val="009E0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36694">
      <w:bodyDiv w:val="1"/>
      <w:marLeft w:val="0"/>
      <w:marRight w:val="0"/>
      <w:marTop w:val="0"/>
      <w:marBottom w:val="0"/>
      <w:divBdr>
        <w:top w:val="none" w:sz="0" w:space="0" w:color="auto"/>
        <w:left w:val="none" w:sz="0" w:space="0" w:color="auto"/>
        <w:bottom w:val="none" w:sz="0" w:space="0" w:color="auto"/>
        <w:right w:val="none" w:sz="0" w:space="0" w:color="auto"/>
      </w:divBdr>
    </w:div>
    <w:div w:id="1488588347">
      <w:bodyDiv w:val="1"/>
      <w:marLeft w:val="0"/>
      <w:marRight w:val="0"/>
      <w:marTop w:val="0"/>
      <w:marBottom w:val="0"/>
      <w:divBdr>
        <w:top w:val="none" w:sz="0" w:space="0" w:color="auto"/>
        <w:left w:val="none" w:sz="0" w:space="0" w:color="auto"/>
        <w:bottom w:val="none" w:sz="0" w:space="0" w:color="auto"/>
        <w:right w:val="none" w:sz="0" w:space="0" w:color="auto"/>
      </w:divBdr>
    </w:div>
    <w:div w:id="1584954535">
      <w:bodyDiv w:val="1"/>
      <w:marLeft w:val="0"/>
      <w:marRight w:val="0"/>
      <w:marTop w:val="0"/>
      <w:marBottom w:val="0"/>
      <w:divBdr>
        <w:top w:val="none" w:sz="0" w:space="0" w:color="auto"/>
        <w:left w:val="none" w:sz="0" w:space="0" w:color="auto"/>
        <w:bottom w:val="none" w:sz="0" w:space="0" w:color="auto"/>
        <w:right w:val="none" w:sz="0" w:space="0" w:color="auto"/>
      </w:divBdr>
    </w:div>
    <w:div w:id="197362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drive/folders/1kQVBRQe5O9bDdzbPKJy-wnRz9X0mDV6T?usp=drive_li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kQVBRQe5O9bDdzbPKJy-wnRz9X0mDV6T?usp=drive_li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2118</Words>
  <Characters>11649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HIM</cp:lastModifiedBy>
  <cp:revision>5</cp:revision>
  <cp:lastPrinted>2025-06-27T19:10:00Z</cp:lastPrinted>
  <dcterms:created xsi:type="dcterms:W3CDTF">2025-06-25T18:37:00Z</dcterms:created>
  <dcterms:modified xsi:type="dcterms:W3CDTF">2025-06-27T19:48:00Z</dcterms:modified>
</cp:coreProperties>
</file>