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096" w:rsidRPr="002F6B1D" w:rsidRDefault="00E37E12" w:rsidP="00104BE1">
      <w:pPr>
        <w:spacing w:line="276" w:lineRule="auto"/>
        <w:jc w:val="center"/>
        <w:rPr>
          <w:rFonts w:ascii="Geomanist" w:hAnsi="Geomanist" w:cs="Arial"/>
          <w:b/>
          <w:sz w:val="20"/>
          <w:szCs w:val="20"/>
        </w:rPr>
      </w:pPr>
      <w:r>
        <w:rPr>
          <w:rFonts w:ascii="Geomanist" w:hAnsi="Geomanist" w:cs="Arial"/>
          <w:b/>
          <w:sz w:val="20"/>
          <w:szCs w:val="20"/>
        </w:rPr>
        <w:t>RESOLUCIÓ</w:t>
      </w:r>
      <w:r w:rsidR="00427096" w:rsidRPr="002F6B1D">
        <w:rPr>
          <w:rFonts w:ascii="Geomanist" w:hAnsi="Geomanist" w:cs="Arial"/>
          <w:b/>
          <w:sz w:val="20"/>
          <w:szCs w:val="20"/>
        </w:rPr>
        <w:t xml:space="preserve">N </w:t>
      </w:r>
      <w:r w:rsidR="00FC16C0">
        <w:rPr>
          <w:rFonts w:ascii="Geomanist" w:hAnsi="Geomanist" w:cs="Arial"/>
          <w:b/>
          <w:sz w:val="20"/>
          <w:szCs w:val="20"/>
        </w:rPr>
        <w:t>21</w:t>
      </w:r>
      <w:r w:rsidR="00F05FB9" w:rsidRPr="002F6B1D">
        <w:rPr>
          <w:rFonts w:ascii="Geomanist" w:hAnsi="Geomanist" w:cs="Arial"/>
          <w:b/>
          <w:sz w:val="20"/>
          <w:szCs w:val="20"/>
        </w:rPr>
        <w:t xml:space="preserve">/25 QUE CONFIRMA </w:t>
      </w:r>
      <w:r w:rsidR="00427096" w:rsidRPr="002F6B1D">
        <w:rPr>
          <w:rFonts w:ascii="Geomanist" w:hAnsi="Geomanist" w:cs="Arial"/>
          <w:b/>
          <w:sz w:val="20"/>
          <w:szCs w:val="20"/>
        </w:rPr>
        <w:t>LA CLASIFICACIÓN DE INFORMACIÓN CONFIDENCIAL Y SE APRUEBA LA VERSIÓN PÚBLICA PARA ATENDER LA SOLICITUD DE ACCESO A INF</w:t>
      </w:r>
      <w:r w:rsidR="00FC16C0">
        <w:rPr>
          <w:rFonts w:ascii="Geomanist" w:hAnsi="Geomanist" w:cs="Arial"/>
          <w:b/>
          <w:sz w:val="20"/>
          <w:szCs w:val="20"/>
        </w:rPr>
        <w:t>ORMACIÓN PÚBLICA 3400154000043</w:t>
      </w:r>
      <w:r w:rsidR="00E50684">
        <w:rPr>
          <w:rFonts w:ascii="Geomanist" w:hAnsi="Geomanist" w:cs="Arial"/>
          <w:b/>
          <w:sz w:val="20"/>
          <w:szCs w:val="20"/>
        </w:rPr>
        <w:t>25</w:t>
      </w:r>
    </w:p>
    <w:p w:rsidR="00427096" w:rsidRPr="002F6B1D" w:rsidRDefault="00427096" w:rsidP="002F6B1D">
      <w:pPr>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 xml:space="preserve">En la Ciudad de México siendo </w:t>
      </w:r>
      <w:r w:rsidR="00466EB5">
        <w:rPr>
          <w:rFonts w:ascii="Geomanist" w:hAnsi="Geomanist" w:cs="Arial"/>
          <w:sz w:val="20"/>
          <w:szCs w:val="20"/>
        </w:rPr>
        <w:t>el día primero</w:t>
      </w:r>
      <w:r w:rsidR="00FC16C0">
        <w:rPr>
          <w:rFonts w:ascii="Geomanist" w:hAnsi="Geomanist" w:cs="Arial"/>
          <w:sz w:val="20"/>
          <w:szCs w:val="20"/>
        </w:rPr>
        <w:t xml:space="preserve"> de agosto</w:t>
      </w:r>
      <w:r w:rsidRPr="00B63615">
        <w:rPr>
          <w:rFonts w:ascii="Geomanist" w:hAnsi="Geomanist" w:cs="Arial"/>
          <w:sz w:val="20"/>
          <w:szCs w:val="20"/>
        </w:rPr>
        <w:t xml:space="preserve"> del</w:t>
      </w:r>
      <w:r w:rsidRPr="002F6B1D">
        <w:rPr>
          <w:rFonts w:ascii="Geomanist" w:hAnsi="Geomanist" w:cs="Arial"/>
          <w:sz w:val="20"/>
          <w:szCs w:val="20"/>
        </w:rPr>
        <w:t xml:space="preserve"> año dos mil veinticinco-----------------------------------------------------------------------------------------------------------------------</w:t>
      </w:r>
      <w:r w:rsidR="00066306" w:rsidRPr="002F6B1D">
        <w:rPr>
          <w:rFonts w:ascii="Geomanist" w:hAnsi="Geomanist" w:cs="Arial"/>
          <w:sz w:val="20"/>
          <w:szCs w:val="20"/>
        </w:rPr>
        <w:t>-------------------------------</w:t>
      </w:r>
      <w:r w:rsidR="002F6B1D" w:rsidRPr="002F6B1D">
        <w:rPr>
          <w:rFonts w:ascii="Geomanist" w:hAnsi="Geomanist" w:cs="Arial"/>
          <w:sz w:val="20"/>
          <w:szCs w:val="20"/>
        </w:rPr>
        <w:t>--</w:t>
      </w: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Vistos para resolver sobre la s</w:t>
      </w:r>
      <w:r w:rsidR="00B37048" w:rsidRPr="002F6B1D">
        <w:rPr>
          <w:rFonts w:ascii="Geomanist" w:hAnsi="Geomanist" w:cs="Arial"/>
          <w:sz w:val="20"/>
          <w:szCs w:val="20"/>
        </w:rPr>
        <w:t xml:space="preserve">olicitud </w:t>
      </w:r>
      <w:r w:rsidR="00FC16C0">
        <w:rPr>
          <w:rFonts w:ascii="Geomanist" w:hAnsi="Geomanist" w:cs="Arial"/>
          <w:sz w:val="20"/>
          <w:szCs w:val="20"/>
        </w:rPr>
        <w:t>3400154000043</w:t>
      </w:r>
      <w:r w:rsidR="00E50684">
        <w:rPr>
          <w:rFonts w:ascii="Geomanist" w:hAnsi="Geomanist" w:cs="Arial"/>
          <w:sz w:val="20"/>
          <w:szCs w:val="20"/>
        </w:rPr>
        <w:t>25</w:t>
      </w:r>
      <w:r w:rsidRPr="002F6B1D">
        <w:rPr>
          <w:rFonts w:ascii="Geomanist" w:hAnsi="Geomanist" w:cs="Arial"/>
          <w:sz w:val="20"/>
          <w:szCs w:val="20"/>
        </w:rPr>
        <w:t xml:space="preserve"> requerida a la Unidad de Transparencia del Hospital Infantil de México Federico Gómez a través de la Plataforma Nacional de Transparencia. --------------------------------------------------------------------------------------------------------------------------------------</w:t>
      </w:r>
      <w:r w:rsidR="00991992" w:rsidRPr="002F6B1D">
        <w:rPr>
          <w:rFonts w:ascii="Geomanist" w:hAnsi="Geomanist" w:cs="Arial"/>
          <w:sz w:val="20"/>
          <w:szCs w:val="20"/>
        </w:rPr>
        <w:t>-</w:t>
      </w:r>
    </w:p>
    <w:p w:rsidR="004C414F"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sz w:val="20"/>
          <w:szCs w:val="20"/>
        </w:rPr>
        <w:t>--------------------------</w:t>
      </w:r>
      <w:r w:rsidR="00066306" w:rsidRPr="002F6B1D">
        <w:rPr>
          <w:rFonts w:ascii="Geomanist" w:hAnsi="Geomanist" w:cs="Arial"/>
          <w:sz w:val="20"/>
          <w:szCs w:val="20"/>
        </w:rPr>
        <w:t>-------------------------</w:t>
      </w:r>
      <w:r w:rsidRPr="002F6B1D">
        <w:rPr>
          <w:rFonts w:ascii="Geomanist" w:hAnsi="Geomanist" w:cs="Arial"/>
          <w:sz w:val="20"/>
          <w:szCs w:val="20"/>
        </w:rPr>
        <w:t>A N T E C E D E N T E S----------------------------------------</w:t>
      </w:r>
      <w:r w:rsidR="00066306" w:rsidRPr="002F6B1D">
        <w:rPr>
          <w:rFonts w:ascii="Geomanist" w:hAnsi="Geomanist" w:cs="Arial"/>
          <w:sz w:val="20"/>
          <w:szCs w:val="20"/>
        </w:rPr>
        <w:t>-----</w:t>
      </w:r>
      <w:r w:rsidR="002F6B1D" w:rsidRPr="002F6B1D">
        <w:rPr>
          <w:rFonts w:ascii="Geomanist" w:hAnsi="Geomanist" w:cs="Arial"/>
          <w:sz w:val="20"/>
          <w:szCs w:val="20"/>
        </w:rPr>
        <w:t>------</w:t>
      </w:r>
    </w:p>
    <w:p w:rsidR="00104BE1" w:rsidRPr="002F6B1D" w:rsidRDefault="00104BE1"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2F6B1D">
        <w:rPr>
          <w:rFonts w:ascii="Geomanist" w:hAnsi="Geomanist" w:cs="Arial"/>
          <w:sz w:val="20"/>
          <w:szCs w:val="20"/>
        </w:rPr>
        <w:t xml:space="preserve">Con fecha </w:t>
      </w:r>
      <w:r w:rsidR="00006207" w:rsidRPr="002F6B1D">
        <w:rPr>
          <w:rFonts w:ascii="Geomanist" w:hAnsi="Geomanist" w:cs="Arial"/>
          <w:sz w:val="20"/>
          <w:szCs w:val="20"/>
        </w:rPr>
        <w:t>siete de</w:t>
      </w:r>
      <w:r w:rsidR="00466EB5">
        <w:rPr>
          <w:rFonts w:ascii="Geomanist" w:hAnsi="Geomanist" w:cs="Arial"/>
          <w:sz w:val="20"/>
          <w:szCs w:val="20"/>
        </w:rPr>
        <w:t xml:space="preserve"> jul</w:t>
      </w:r>
      <w:r w:rsidR="00314E20">
        <w:rPr>
          <w:rFonts w:ascii="Geomanist" w:hAnsi="Geomanist" w:cs="Arial"/>
          <w:sz w:val="20"/>
          <w:szCs w:val="20"/>
        </w:rPr>
        <w:t>io</w:t>
      </w:r>
      <w:r w:rsidR="00066306" w:rsidRPr="002F6B1D">
        <w:rPr>
          <w:rFonts w:ascii="Geomanist" w:hAnsi="Geomanist" w:cs="Arial"/>
          <w:sz w:val="20"/>
          <w:szCs w:val="20"/>
        </w:rPr>
        <w:t xml:space="preserve"> de 2025</w:t>
      </w:r>
      <w:r w:rsidRPr="002F6B1D">
        <w:rPr>
          <w:rFonts w:ascii="Geomanist" w:hAnsi="Geomanist" w:cs="Arial"/>
          <w:sz w:val="20"/>
          <w:szCs w:val="20"/>
        </w:rPr>
        <w:t>, se recibió en la Unidad de Transparencia del Hospital Infantil de México Federico Gómez, a través de la Plataforma Nacional de Transparencia, la solicitud de acceso a información pública</w:t>
      </w:r>
      <w:r w:rsidR="00466EB5">
        <w:rPr>
          <w:rFonts w:ascii="Geomanist" w:hAnsi="Geomanist" w:cs="Arial"/>
          <w:sz w:val="20"/>
          <w:szCs w:val="20"/>
        </w:rPr>
        <w:t xml:space="preserve"> 3400154000043</w:t>
      </w:r>
      <w:r w:rsidR="00314E20">
        <w:rPr>
          <w:rFonts w:ascii="Geomanist" w:hAnsi="Geomanist" w:cs="Arial"/>
          <w:sz w:val="20"/>
          <w:szCs w:val="20"/>
        </w:rPr>
        <w:t>25</w:t>
      </w:r>
      <w:r w:rsidRPr="002F6B1D">
        <w:rPr>
          <w:rFonts w:ascii="Geomanist" w:hAnsi="Geomanist" w:cs="Arial"/>
          <w:sz w:val="20"/>
          <w:szCs w:val="20"/>
        </w:rPr>
        <w:t>, en la que se requirió.</w:t>
      </w:r>
    </w:p>
    <w:p w:rsidR="00427096" w:rsidRPr="002F6B1D" w:rsidRDefault="00427096" w:rsidP="002F6B1D">
      <w:pPr>
        <w:pStyle w:val="Textoindependiente3"/>
        <w:tabs>
          <w:tab w:val="left" w:pos="284"/>
        </w:tabs>
        <w:spacing w:after="0" w:line="276" w:lineRule="auto"/>
        <w:jc w:val="both"/>
        <w:rPr>
          <w:rFonts w:ascii="Geomanist" w:hAnsi="Geomanist" w:cs="Arial"/>
          <w:i/>
          <w:iCs/>
          <w:sz w:val="8"/>
          <w:szCs w:val="20"/>
        </w:rPr>
      </w:pPr>
    </w:p>
    <w:p w:rsidR="004C414F" w:rsidRDefault="00427096" w:rsidP="002F6B1D">
      <w:pPr>
        <w:pStyle w:val="Textoindependiente3"/>
        <w:tabs>
          <w:tab w:val="left" w:pos="284"/>
        </w:tabs>
        <w:spacing w:line="276" w:lineRule="auto"/>
        <w:ind w:left="709" w:right="1183"/>
        <w:jc w:val="both"/>
        <w:rPr>
          <w:rFonts w:ascii="Geomanist" w:hAnsi="Geomanist" w:cs="Calibri"/>
          <w:b/>
          <w:i/>
          <w:iCs/>
          <w:sz w:val="18"/>
          <w:szCs w:val="18"/>
        </w:rPr>
      </w:pPr>
      <w:r w:rsidRPr="002F6B1D">
        <w:rPr>
          <w:rFonts w:ascii="Geomanist" w:hAnsi="Geomanist" w:cs="Calibri"/>
          <w:b/>
          <w:i/>
          <w:iCs/>
          <w:sz w:val="18"/>
          <w:szCs w:val="18"/>
        </w:rPr>
        <w:t xml:space="preserve">              “</w:t>
      </w:r>
      <w:r w:rsidR="00466EB5" w:rsidRPr="00466EB5">
        <w:rPr>
          <w:rFonts w:ascii="Geomanist" w:hAnsi="Geomanist" w:cs="Calibri"/>
          <w:b/>
          <w:i/>
          <w:iCs/>
          <w:sz w:val="18"/>
          <w:szCs w:val="18"/>
        </w:rPr>
        <w:t>Solicito se remita: * Contratos *Facturas *</w:t>
      </w:r>
      <w:proofErr w:type="spellStart"/>
      <w:r w:rsidR="00466EB5" w:rsidRPr="00466EB5">
        <w:rPr>
          <w:rFonts w:ascii="Geomanist" w:hAnsi="Geomanist" w:cs="Calibri"/>
          <w:b/>
          <w:i/>
          <w:iCs/>
          <w:sz w:val="18"/>
          <w:szCs w:val="18"/>
        </w:rPr>
        <w:t>Ordenes</w:t>
      </w:r>
      <w:proofErr w:type="spellEnd"/>
      <w:r w:rsidR="00466EB5" w:rsidRPr="00466EB5">
        <w:rPr>
          <w:rFonts w:ascii="Geomanist" w:hAnsi="Geomanist" w:cs="Calibri"/>
          <w:b/>
          <w:i/>
          <w:iCs/>
          <w:sz w:val="18"/>
          <w:szCs w:val="18"/>
        </w:rPr>
        <w:t xml:space="preserve"> de compra *Y demás documentación relacionada a las respuestas proporcionadas en las siguientes solicitudes de información: 340015400002225</w:t>
      </w:r>
      <w:r w:rsidR="004D15C3" w:rsidRPr="002F6B1D">
        <w:rPr>
          <w:rFonts w:ascii="Geomanist" w:hAnsi="Geomanist" w:cs="Calibri"/>
          <w:b/>
          <w:i/>
          <w:iCs/>
          <w:sz w:val="18"/>
          <w:szCs w:val="18"/>
        </w:rPr>
        <w:t>” (Sic</w:t>
      </w:r>
      <w:r w:rsidR="00314E20">
        <w:rPr>
          <w:rFonts w:ascii="Geomanist" w:hAnsi="Geomanist" w:cs="Calibri"/>
          <w:b/>
          <w:i/>
          <w:iCs/>
          <w:sz w:val="18"/>
          <w:szCs w:val="18"/>
        </w:rPr>
        <w:t>)</w:t>
      </w:r>
    </w:p>
    <w:p w:rsidR="008261C4" w:rsidRDefault="008261C4" w:rsidP="002F6B1D">
      <w:pPr>
        <w:pStyle w:val="Textoindependiente3"/>
        <w:tabs>
          <w:tab w:val="left" w:pos="284"/>
        </w:tabs>
        <w:spacing w:line="276" w:lineRule="auto"/>
        <w:ind w:left="709" w:right="1183"/>
        <w:jc w:val="both"/>
        <w:rPr>
          <w:rFonts w:ascii="Geomanist" w:hAnsi="Geomanist" w:cs="Calibri"/>
          <w:b/>
          <w:i/>
          <w:iCs/>
          <w:sz w:val="18"/>
          <w:szCs w:val="18"/>
        </w:rPr>
      </w:pPr>
    </w:p>
    <w:p w:rsidR="008261C4" w:rsidRPr="008261C4" w:rsidRDefault="008261C4" w:rsidP="008261C4">
      <w:pPr>
        <w:pStyle w:val="Prrafodelista"/>
        <w:numPr>
          <w:ilvl w:val="0"/>
          <w:numId w:val="1"/>
        </w:numPr>
        <w:spacing w:line="276" w:lineRule="auto"/>
        <w:ind w:right="49"/>
        <w:rPr>
          <w:rFonts w:ascii="Geomanist" w:hAnsi="Geomanist"/>
          <w:iCs/>
          <w:sz w:val="20"/>
          <w:szCs w:val="20"/>
        </w:rPr>
      </w:pPr>
      <w:r w:rsidRPr="008261C4">
        <w:rPr>
          <w:rFonts w:ascii="Geomanist" w:hAnsi="Geomanist"/>
          <w:iCs/>
          <w:sz w:val="20"/>
          <w:szCs w:val="20"/>
        </w:rPr>
        <w:t>La solicitud de acceso a información pública 340015400002225</w:t>
      </w:r>
      <w:r>
        <w:rPr>
          <w:rFonts w:ascii="Geomanist" w:hAnsi="Geomanist"/>
          <w:iCs/>
          <w:sz w:val="20"/>
          <w:szCs w:val="20"/>
        </w:rPr>
        <w:t xml:space="preserve">, </w:t>
      </w:r>
      <w:r w:rsidRPr="008261C4">
        <w:rPr>
          <w:rFonts w:ascii="Geomanist" w:hAnsi="Geomanist"/>
          <w:iCs/>
          <w:sz w:val="20"/>
          <w:szCs w:val="20"/>
        </w:rPr>
        <w:t>relativa a:</w:t>
      </w:r>
    </w:p>
    <w:p w:rsidR="008261C4" w:rsidRPr="008261C4" w:rsidRDefault="008261C4" w:rsidP="008261C4">
      <w:pPr>
        <w:pStyle w:val="Prrafodelista"/>
        <w:spacing w:after="0" w:line="276" w:lineRule="auto"/>
        <w:ind w:left="360" w:right="1185" w:firstLine="352"/>
        <w:jc w:val="both"/>
        <w:rPr>
          <w:rFonts w:ascii="Geomanist" w:hAnsi="Geomanist"/>
          <w:iCs/>
          <w:sz w:val="20"/>
          <w:szCs w:val="20"/>
        </w:rPr>
      </w:pPr>
      <w:r w:rsidRPr="008261C4">
        <w:rPr>
          <w:rFonts w:ascii="Geomanist" w:hAnsi="Geomanist" w:cs="Calibri"/>
          <w:iCs/>
          <w:sz w:val="20"/>
          <w:szCs w:val="20"/>
        </w:rPr>
        <w:t xml:space="preserve"> </w:t>
      </w:r>
      <w:r w:rsidRPr="008261C4">
        <w:rPr>
          <w:rFonts w:ascii="Geomanist" w:eastAsia="Times New Roman" w:hAnsi="Geomanist" w:cs="Arial"/>
          <w:sz w:val="20"/>
          <w:szCs w:val="20"/>
          <w:lang w:val="es-ES_tradnl" w:eastAsia="es-ES"/>
        </w:rPr>
        <w:t>“</w:t>
      </w:r>
      <w:r w:rsidRPr="008261C4">
        <w:rPr>
          <w:rFonts w:ascii="Geomanist" w:hAnsi="Geomanist"/>
          <w:sz w:val="20"/>
          <w:szCs w:val="20"/>
        </w:rPr>
        <w:t xml:space="preserve">LA TOTALIDAD DE ENTREGAS QUE REALIZARON EN CUALQUIER FORMA DE CONTRATACIÓN PÚBLICA EN LOS AÑOS 2021, 2022 Y 2023, LOS SIGUIENTES PROVEEDORES: </w:t>
      </w:r>
    </w:p>
    <w:p w:rsidR="008261C4" w:rsidRPr="008261C4" w:rsidRDefault="008261C4" w:rsidP="008261C4">
      <w:pPr>
        <w:spacing w:line="276" w:lineRule="auto"/>
        <w:ind w:right="1185" w:firstLine="352"/>
        <w:jc w:val="both"/>
        <w:rPr>
          <w:rFonts w:ascii="Geomanist" w:hAnsi="Geomanist"/>
          <w:sz w:val="20"/>
          <w:szCs w:val="20"/>
        </w:rPr>
      </w:pPr>
      <w:r w:rsidRPr="008261C4">
        <w:rPr>
          <w:rFonts w:ascii="Geomanist" w:hAnsi="Geomanist"/>
          <w:sz w:val="20"/>
          <w:szCs w:val="20"/>
        </w:rPr>
        <w:t>1. PROQUIGAMA, S.A. DE C.V.”</w:t>
      </w:r>
      <w:r>
        <w:rPr>
          <w:rFonts w:ascii="Geomanist" w:hAnsi="Geomanist"/>
          <w:sz w:val="20"/>
          <w:szCs w:val="20"/>
        </w:rPr>
        <w:t xml:space="preserve"> </w:t>
      </w:r>
      <w:r w:rsidRPr="008261C4">
        <w:rPr>
          <w:rFonts w:ascii="Geomanist" w:hAnsi="Geomanist"/>
          <w:sz w:val="20"/>
          <w:szCs w:val="20"/>
        </w:rPr>
        <w:t>(Sic).</w:t>
      </w:r>
    </w:p>
    <w:p w:rsidR="008261C4" w:rsidRDefault="008261C4" w:rsidP="008261C4">
      <w:pPr>
        <w:pStyle w:val="Textoindependiente3"/>
        <w:tabs>
          <w:tab w:val="left" w:pos="0"/>
        </w:tabs>
        <w:spacing w:line="276" w:lineRule="auto"/>
        <w:ind w:right="49"/>
        <w:jc w:val="both"/>
        <w:rPr>
          <w:rFonts w:ascii="Geomanist" w:hAnsi="Geomanist" w:cs="Calibri"/>
          <w:iCs/>
          <w:sz w:val="20"/>
          <w:szCs w:val="20"/>
        </w:rPr>
      </w:pPr>
      <w:r w:rsidRPr="008261C4">
        <w:rPr>
          <w:rFonts w:ascii="Geomanist" w:hAnsi="Geomanist" w:cs="Calibri"/>
          <w:iCs/>
          <w:sz w:val="20"/>
          <w:szCs w:val="20"/>
        </w:rPr>
        <w:t xml:space="preserve">Se interpuso recurso de revisión por la falta del lote, mismo que en la vía de alegatos se le informó y está contenido en la factura. </w:t>
      </w:r>
    </w:p>
    <w:p w:rsidR="008261C4" w:rsidRPr="008261C4" w:rsidRDefault="008261C4" w:rsidP="008261C4">
      <w:pPr>
        <w:pStyle w:val="Textoindependiente3"/>
        <w:tabs>
          <w:tab w:val="left" w:pos="0"/>
        </w:tabs>
        <w:spacing w:line="276" w:lineRule="auto"/>
        <w:ind w:right="49"/>
        <w:jc w:val="both"/>
        <w:rPr>
          <w:rFonts w:ascii="Geomanist" w:hAnsi="Geomanist" w:cs="Calibri"/>
          <w:iCs/>
          <w:sz w:val="20"/>
          <w:szCs w:val="20"/>
        </w:rPr>
      </w:pPr>
    </w:p>
    <w:p w:rsidR="0019675F" w:rsidRPr="0019675F" w:rsidRDefault="0019675F" w:rsidP="0019675F">
      <w:pPr>
        <w:pStyle w:val="Textoindependiente3"/>
        <w:numPr>
          <w:ilvl w:val="0"/>
          <w:numId w:val="1"/>
        </w:numPr>
        <w:tabs>
          <w:tab w:val="left" w:pos="284"/>
        </w:tabs>
        <w:spacing w:after="0" w:line="276" w:lineRule="auto"/>
        <w:ind w:left="0" w:firstLine="0"/>
        <w:jc w:val="both"/>
        <w:rPr>
          <w:rFonts w:ascii="Geomanist" w:hAnsi="Geomanist"/>
        </w:rPr>
      </w:pPr>
      <w:r w:rsidRPr="002F6B1D">
        <w:rPr>
          <w:rFonts w:ascii="Geomanist" w:hAnsi="Geomanist" w:cs="Arial"/>
          <w:sz w:val="20"/>
          <w:szCs w:val="20"/>
        </w:rPr>
        <w:t xml:space="preserve">Miriam Guadalupe Herrera Segura, Directora de Planeación y Titular de la Unidad de Transparencia, solicitó a través de correo electrónico de fecha </w:t>
      </w:r>
      <w:r w:rsidRPr="00851685">
        <w:rPr>
          <w:rFonts w:ascii="Geomanist" w:hAnsi="Geomanist" w:cs="Arial"/>
          <w:sz w:val="20"/>
          <w:szCs w:val="20"/>
        </w:rPr>
        <w:t>7 de julio</w:t>
      </w:r>
      <w:r w:rsidRPr="002F6B1D">
        <w:rPr>
          <w:rFonts w:ascii="Geomanist" w:hAnsi="Geomanist" w:cs="Arial"/>
          <w:sz w:val="20"/>
          <w:szCs w:val="20"/>
        </w:rPr>
        <w:t xml:space="preserve"> de 2025, a </w:t>
      </w:r>
      <w:r>
        <w:rPr>
          <w:rFonts w:ascii="Geomanist" w:hAnsi="Geomanist" w:cs="Arial"/>
          <w:sz w:val="20"/>
          <w:szCs w:val="20"/>
        </w:rPr>
        <w:t>Juan Antonio Gama Gómez, Subdirector de Recursos Materiales, Víctor Hernández Álvarez, Jefe del Departamento de Almacenes y Oscar Sánchez Bermúdez, Jefe del Departamento de Inventario y Activo Fijo esto</w:t>
      </w:r>
      <w:r w:rsidRPr="002F6B1D" w:rsidDel="003F46EE">
        <w:rPr>
          <w:rFonts w:ascii="Geomanist" w:hAnsi="Geomanist" w:cs="Arial"/>
          <w:sz w:val="20"/>
          <w:szCs w:val="20"/>
        </w:rPr>
        <w:t xml:space="preserve"> </w:t>
      </w:r>
      <w:r w:rsidRPr="002F6B1D">
        <w:rPr>
          <w:rFonts w:ascii="Geomanist" w:hAnsi="Geomanist" w:cs="Arial"/>
          <w:sz w:val="20"/>
          <w:szCs w:val="20"/>
        </w:rPr>
        <w:t>para que realizar</w:t>
      </w:r>
      <w:r>
        <w:rPr>
          <w:rFonts w:ascii="Geomanist" w:hAnsi="Geomanist" w:cs="Arial"/>
          <w:sz w:val="20"/>
          <w:szCs w:val="20"/>
        </w:rPr>
        <w:t>án</w:t>
      </w:r>
      <w:r w:rsidRPr="002F6B1D">
        <w:rPr>
          <w:rFonts w:ascii="Geomanist" w:hAnsi="Geomanist" w:cs="Arial"/>
          <w:sz w:val="20"/>
          <w:szCs w:val="20"/>
        </w:rPr>
        <w:t xml:space="preserve"> la búsqueda de información y lo informar</w:t>
      </w:r>
      <w:r>
        <w:rPr>
          <w:rFonts w:ascii="Geomanist" w:hAnsi="Geomanist" w:cs="Arial"/>
          <w:sz w:val="20"/>
          <w:szCs w:val="20"/>
        </w:rPr>
        <w:t xml:space="preserve">an a más tardar el día </w:t>
      </w:r>
      <w:r w:rsidRPr="00851685">
        <w:rPr>
          <w:rFonts w:ascii="Geomanist" w:hAnsi="Geomanist" w:cs="Arial"/>
          <w:sz w:val="20"/>
          <w:szCs w:val="20"/>
        </w:rPr>
        <w:t>16 de julio</w:t>
      </w:r>
      <w:r w:rsidRPr="002F6B1D">
        <w:rPr>
          <w:rFonts w:ascii="Geomanist" w:hAnsi="Geomanist" w:cs="Arial"/>
          <w:sz w:val="20"/>
          <w:szCs w:val="20"/>
        </w:rPr>
        <w:t xml:space="preserve"> de 2025.</w:t>
      </w:r>
    </w:p>
    <w:p w:rsidR="0019675F" w:rsidRDefault="0019675F" w:rsidP="0019675F">
      <w:pPr>
        <w:pStyle w:val="Textoindependiente3"/>
        <w:tabs>
          <w:tab w:val="left" w:pos="284"/>
        </w:tabs>
        <w:spacing w:after="0" w:line="276" w:lineRule="auto"/>
        <w:ind w:left="360"/>
        <w:jc w:val="both"/>
        <w:rPr>
          <w:rFonts w:ascii="Geomanist" w:hAnsi="Geomanist" w:cs="Arial"/>
          <w:sz w:val="20"/>
          <w:szCs w:val="20"/>
        </w:rPr>
      </w:pPr>
    </w:p>
    <w:p w:rsidR="0019675F" w:rsidRPr="0019675F" w:rsidRDefault="0019675F" w:rsidP="0019675F">
      <w:pPr>
        <w:pStyle w:val="Textoindependiente3"/>
        <w:numPr>
          <w:ilvl w:val="0"/>
          <w:numId w:val="1"/>
        </w:numPr>
        <w:tabs>
          <w:tab w:val="left" w:pos="284"/>
        </w:tabs>
        <w:spacing w:after="0" w:line="276" w:lineRule="auto"/>
        <w:ind w:left="0" w:firstLine="0"/>
        <w:jc w:val="both"/>
        <w:rPr>
          <w:rFonts w:ascii="Geomanist" w:hAnsi="Geomanist" w:cs="Arial"/>
          <w:sz w:val="20"/>
          <w:szCs w:val="20"/>
        </w:rPr>
      </w:pPr>
      <w:r w:rsidRPr="0019675F">
        <w:rPr>
          <w:rFonts w:ascii="Geomanist" w:hAnsi="Geomanist" w:cs="Arial"/>
          <w:sz w:val="20"/>
          <w:szCs w:val="20"/>
        </w:rPr>
        <w:t xml:space="preserve">El día miércoles 16 de julio de 2025 por instrucciones del Juan A. Gama Gómez. Subdirector de Recursos Materiales, Oscar Sánchez Bermúdez, Jefe del Departamento de Inventario y Activo Fijo hizo llegar a la Unidad de Transparencia en formato PDF la versión pública de la documentación solicitada; así como la versión </w:t>
      </w:r>
      <w:r w:rsidR="00C056CA">
        <w:rPr>
          <w:rFonts w:ascii="Geomanist" w:hAnsi="Geomanist" w:cs="Arial"/>
          <w:sz w:val="20"/>
          <w:szCs w:val="20"/>
        </w:rPr>
        <w:t>íntegra</w:t>
      </w:r>
      <w:r w:rsidRPr="0019675F">
        <w:rPr>
          <w:rFonts w:ascii="Geomanist" w:hAnsi="Geomanist" w:cs="Arial"/>
          <w:sz w:val="20"/>
          <w:szCs w:val="20"/>
        </w:rPr>
        <w:t xml:space="preserve"> de la misma (Contrato, factura y orden de surtimiento).</w:t>
      </w:r>
    </w:p>
    <w:p w:rsidR="001838CC" w:rsidRPr="002F6B1D" w:rsidRDefault="001838CC" w:rsidP="002F6B1D">
      <w:pPr>
        <w:jc w:val="both"/>
        <w:rPr>
          <w:rFonts w:ascii="Geomanist" w:eastAsia="Times New Roman" w:hAnsi="Geomanist" w:cs="Arial"/>
          <w:sz w:val="22"/>
          <w:szCs w:val="20"/>
          <w:lang w:val="es-ES_tradnl" w:eastAsia="es-ES"/>
        </w:rPr>
      </w:pPr>
    </w:p>
    <w:p w:rsidR="00427096" w:rsidRPr="006E2D49" w:rsidRDefault="00427096" w:rsidP="006E2D49">
      <w:pPr>
        <w:shd w:val="clear" w:color="auto" w:fill="FFFFFF"/>
        <w:rPr>
          <w:rFonts w:ascii="Arial" w:hAnsi="Arial" w:cs="Arial"/>
          <w:i/>
          <w:color w:val="222222"/>
        </w:rPr>
      </w:pPr>
      <w:r w:rsidRPr="002F6B1D">
        <w:rPr>
          <w:rFonts w:ascii="Geomanist" w:hAnsi="Geomanist" w:cs="Arial"/>
          <w:sz w:val="22"/>
          <w:szCs w:val="20"/>
        </w:rPr>
        <w:t>---------------------------</w:t>
      </w:r>
      <w:r w:rsidR="00A070FB" w:rsidRPr="002F6B1D">
        <w:rPr>
          <w:rFonts w:ascii="Geomanist" w:hAnsi="Geomanist" w:cs="Arial"/>
          <w:sz w:val="22"/>
          <w:szCs w:val="20"/>
        </w:rPr>
        <w:t>--</w:t>
      </w:r>
      <w:r w:rsidRPr="002F6B1D">
        <w:rPr>
          <w:rFonts w:ascii="Geomanist" w:hAnsi="Geomanist" w:cs="Arial"/>
          <w:sz w:val="22"/>
          <w:szCs w:val="20"/>
        </w:rPr>
        <w:t>-----------------C O N S I D E R A N D OS--------------</w:t>
      </w:r>
      <w:r w:rsidR="008E4B2D" w:rsidRPr="002F6B1D">
        <w:rPr>
          <w:rFonts w:ascii="Geomanist" w:hAnsi="Geomanist" w:cs="Arial"/>
          <w:sz w:val="22"/>
          <w:szCs w:val="20"/>
        </w:rPr>
        <w:t>-------------</w:t>
      </w:r>
      <w:r w:rsidR="00A070FB" w:rsidRPr="002F6B1D">
        <w:rPr>
          <w:rFonts w:ascii="Geomanist" w:hAnsi="Geomanist" w:cs="Arial"/>
          <w:sz w:val="22"/>
          <w:szCs w:val="20"/>
        </w:rPr>
        <w:t>-</w:t>
      </w:r>
      <w:r w:rsidR="008E4B2D" w:rsidRPr="002F6B1D">
        <w:rPr>
          <w:rFonts w:ascii="Geomanist" w:hAnsi="Geomanist" w:cs="Arial"/>
          <w:sz w:val="22"/>
          <w:szCs w:val="20"/>
        </w:rPr>
        <w:t>-------------</w:t>
      </w:r>
    </w:p>
    <w:p w:rsidR="00CE1043" w:rsidRPr="002F6B1D" w:rsidRDefault="00CE1043" w:rsidP="002F6B1D">
      <w:pPr>
        <w:jc w:val="both"/>
        <w:rPr>
          <w:rFonts w:ascii="Geomanist" w:hAnsi="Geomanist" w:cs="Arial"/>
          <w:sz w:val="22"/>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PRIMERO.</w:t>
      </w:r>
      <w:r w:rsidRPr="002F6B1D">
        <w:rPr>
          <w:rFonts w:ascii="Geomanist" w:hAnsi="Geomanist" w:cs="Arial"/>
          <w:sz w:val="20"/>
          <w:szCs w:val="20"/>
        </w:rPr>
        <w:t xml:space="preserve"> En términos de la Ley </w:t>
      </w:r>
      <w:r w:rsidR="001B139A" w:rsidRPr="002F6B1D">
        <w:rPr>
          <w:rFonts w:ascii="Geomanist" w:hAnsi="Geomanist" w:cs="Arial"/>
          <w:sz w:val="20"/>
          <w:szCs w:val="20"/>
        </w:rPr>
        <w:t xml:space="preserve">General </w:t>
      </w:r>
      <w:r w:rsidRPr="002F6B1D">
        <w:rPr>
          <w:rFonts w:ascii="Geomanist" w:hAnsi="Geomanist" w:cs="Arial"/>
          <w:sz w:val="20"/>
          <w:szCs w:val="20"/>
        </w:rPr>
        <w:t xml:space="preserve">de Transparencia y Acceso a la Información Pública, la Unidad de Transparencia del Hospital Infantil de México Federico Gómez, tiene las funciones </w:t>
      </w:r>
      <w:r w:rsidR="00EA74BD" w:rsidRPr="002F6B1D">
        <w:rPr>
          <w:rFonts w:ascii="Geomanist" w:hAnsi="Geomanist" w:cs="Arial"/>
          <w:sz w:val="20"/>
          <w:szCs w:val="20"/>
        </w:rPr>
        <w:t>que se señalan en el Artículo 41</w:t>
      </w:r>
      <w:r w:rsidR="00C056CA">
        <w:rPr>
          <w:rFonts w:ascii="Geomanist" w:hAnsi="Geomanist" w:cs="Arial"/>
          <w:sz w:val="20"/>
          <w:szCs w:val="20"/>
        </w:rPr>
        <w:t xml:space="preserve"> de dicha Ley;</w:t>
      </w:r>
      <w:r w:rsidRPr="002F6B1D">
        <w:rPr>
          <w:rFonts w:ascii="Geomanist" w:hAnsi="Geomanist" w:cs="Arial"/>
          <w:sz w:val="20"/>
          <w:szCs w:val="20"/>
        </w:rPr>
        <w:t xml:space="preserve"> as</w:t>
      </w:r>
      <w:r w:rsidR="00C056CA">
        <w:rPr>
          <w:rFonts w:ascii="Geomanist" w:hAnsi="Geomanist" w:cs="Arial"/>
          <w:sz w:val="20"/>
          <w:szCs w:val="20"/>
        </w:rPr>
        <w:t>í</w:t>
      </w:r>
      <w:r w:rsidRPr="002F6B1D">
        <w:rPr>
          <w:rFonts w:ascii="Geomanist" w:hAnsi="Geomanist" w:cs="Arial"/>
          <w:sz w:val="20"/>
          <w:szCs w:val="20"/>
        </w:rPr>
        <w:t xml:space="preserve"> como</w:t>
      </w:r>
      <w:r w:rsidR="00C056CA">
        <w:rPr>
          <w:rFonts w:ascii="Geomanist" w:hAnsi="Geomanist" w:cs="Arial"/>
          <w:sz w:val="20"/>
          <w:szCs w:val="20"/>
        </w:rPr>
        <w:t>,</w:t>
      </w:r>
      <w:r w:rsidRPr="002F6B1D">
        <w:rPr>
          <w:rFonts w:ascii="Geomanist" w:hAnsi="Geomanist" w:cs="Arial"/>
          <w:sz w:val="20"/>
          <w:szCs w:val="20"/>
        </w:rPr>
        <w:t xml:space="preserve"> la de recibir y dar trámite a las solicitudes de acceso a la información referidas en los artículos 12</w:t>
      </w:r>
      <w:r w:rsidR="001765CD" w:rsidRPr="002F6B1D">
        <w:rPr>
          <w:rFonts w:ascii="Geomanist" w:hAnsi="Geomanist" w:cs="Arial"/>
          <w:sz w:val="20"/>
          <w:szCs w:val="20"/>
        </w:rPr>
        <w:t>3</w:t>
      </w:r>
      <w:r w:rsidRPr="002F6B1D">
        <w:rPr>
          <w:rFonts w:ascii="Geomanist" w:hAnsi="Geomanist" w:cs="Arial"/>
          <w:sz w:val="20"/>
          <w:szCs w:val="20"/>
        </w:rPr>
        <w:t xml:space="preserve"> al 14</w:t>
      </w:r>
      <w:r w:rsidR="001765CD" w:rsidRPr="002F6B1D">
        <w:rPr>
          <w:rFonts w:ascii="Geomanist" w:hAnsi="Geomanist" w:cs="Arial"/>
          <w:sz w:val="20"/>
          <w:szCs w:val="20"/>
        </w:rPr>
        <w:t>2</w:t>
      </w:r>
      <w:r w:rsidRPr="002F6B1D">
        <w:rPr>
          <w:rFonts w:ascii="Geomanist" w:hAnsi="Geomanist" w:cs="Arial"/>
          <w:sz w:val="20"/>
          <w:szCs w:val="20"/>
        </w:rPr>
        <w:t xml:space="preserve"> las cuales son las necesarias para garantizar y agilizar el flujo de información entre este Instituto y los particulares.</w:t>
      </w:r>
    </w:p>
    <w:p w:rsidR="00427096" w:rsidRDefault="00427096" w:rsidP="002F6B1D">
      <w:pPr>
        <w:pStyle w:val="Textoindependiente3"/>
        <w:tabs>
          <w:tab w:val="left" w:pos="284"/>
        </w:tabs>
        <w:spacing w:after="0" w:line="276" w:lineRule="auto"/>
        <w:jc w:val="both"/>
        <w:rPr>
          <w:rFonts w:ascii="Geomanist" w:hAnsi="Geomanist" w:cs="Arial"/>
          <w:sz w:val="20"/>
          <w:szCs w:val="20"/>
        </w:rPr>
      </w:pPr>
    </w:p>
    <w:p w:rsidR="008261C4" w:rsidRPr="002F6B1D" w:rsidRDefault="008261C4"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SEGUNDO.</w:t>
      </w:r>
      <w:r w:rsidRPr="002F6B1D">
        <w:rPr>
          <w:rFonts w:ascii="Geomanist" w:hAnsi="Geomanist" w:cs="Arial"/>
          <w:sz w:val="20"/>
          <w:szCs w:val="20"/>
        </w:rPr>
        <w:t xml:space="preserve"> De conformidad con lo dispuesto en </w:t>
      </w:r>
      <w:r w:rsidR="00E84A91">
        <w:rPr>
          <w:rFonts w:ascii="Geomanist" w:hAnsi="Geomanist" w:cs="Arial"/>
          <w:sz w:val="20"/>
          <w:szCs w:val="20"/>
        </w:rPr>
        <w:t>los</w:t>
      </w:r>
      <w:r w:rsidRPr="002F6B1D">
        <w:rPr>
          <w:rFonts w:ascii="Geomanist" w:hAnsi="Geomanist" w:cs="Arial"/>
          <w:sz w:val="20"/>
          <w:szCs w:val="20"/>
        </w:rPr>
        <w:t xml:space="preserve"> artículo</w:t>
      </w:r>
      <w:r w:rsidR="00E84A91">
        <w:rPr>
          <w:rFonts w:ascii="Geomanist" w:hAnsi="Geomanist" w:cs="Arial"/>
          <w:sz w:val="20"/>
          <w:szCs w:val="20"/>
        </w:rPr>
        <w:t>s</w:t>
      </w:r>
      <w:r w:rsidRPr="002F6B1D">
        <w:rPr>
          <w:rFonts w:ascii="Geomanist" w:hAnsi="Geomanist" w:cs="Arial"/>
          <w:sz w:val="20"/>
          <w:szCs w:val="20"/>
        </w:rPr>
        <w:t xml:space="preserve"> </w:t>
      </w:r>
      <w:r w:rsidR="008015CD" w:rsidRPr="002F6B1D">
        <w:rPr>
          <w:rFonts w:ascii="Geomanist" w:hAnsi="Geomanist" w:cs="Arial"/>
          <w:sz w:val="20"/>
          <w:szCs w:val="20"/>
        </w:rPr>
        <w:t xml:space="preserve">40 </w:t>
      </w:r>
      <w:r w:rsidR="00945F66">
        <w:rPr>
          <w:rFonts w:ascii="Geomanist" w:hAnsi="Geomanist" w:cs="Arial"/>
          <w:sz w:val="20"/>
          <w:szCs w:val="20"/>
        </w:rPr>
        <w:t xml:space="preserve">fracción II </w:t>
      </w:r>
      <w:r w:rsidR="00945F66" w:rsidRPr="002F6B1D">
        <w:rPr>
          <w:rFonts w:ascii="Geomanist" w:hAnsi="Geomanist" w:cs="Arial"/>
          <w:sz w:val="20"/>
          <w:szCs w:val="20"/>
        </w:rPr>
        <w:t xml:space="preserve">y </w:t>
      </w:r>
      <w:r w:rsidR="00986929" w:rsidRPr="002F6B1D">
        <w:rPr>
          <w:rFonts w:ascii="Geomanist" w:hAnsi="Geomanist" w:cs="Arial"/>
          <w:sz w:val="20"/>
          <w:szCs w:val="20"/>
        </w:rPr>
        <w:t>139</w:t>
      </w:r>
      <w:r w:rsidRPr="002F6B1D">
        <w:rPr>
          <w:rFonts w:ascii="Geomanist" w:hAnsi="Geomanist" w:cs="Arial"/>
          <w:sz w:val="20"/>
          <w:szCs w:val="20"/>
        </w:rPr>
        <w:t xml:space="preserve"> </w:t>
      </w:r>
      <w:r w:rsidR="00945F66">
        <w:rPr>
          <w:rFonts w:ascii="Geomanist" w:hAnsi="Geomanist" w:cs="Arial"/>
          <w:sz w:val="20"/>
          <w:szCs w:val="20"/>
        </w:rPr>
        <w:t xml:space="preserve">fracción I </w:t>
      </w:r>
      <w:r w:rsidRPr="002F6B1D">
        <w:rPr>
          <w:rFonts w:ascii="Geomanist" w:hAnsi="Geomanist" w:cs="Arial"/>
          <w:sz w:val="20"/>
          <w:szCs w:val="20"/>
        </w:rPr>
        <w:t xml:space="preserve">de la Ley </w:t>
      </w:r>
      <w:r w:rsidR="001765CD"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este Comité de Transparencia, es competente para conocer y resolver sobre la presente solicitud de información. </w:t>
      </w:r>
    </w:p>
    <w:p w:rsidR="00FA4E92" w:rsidRDefault="00FA4E92" w:rsidP="002F6B1D">
      <w:pPr>
        <w:pStyle w:val="Textoindependiente3"/>
        <w:tabs>
          <w:tab w:val="left" w:pos="284"/>
        </w:tabs>
        <w:spacing w:after="0" w:line="276" w:lineRule="auto"/>
        <w:jc w:val="both"/>
        <w:rPr>
          <w:rFonts w:ascii="Geomanist" w:hAnsi="Geomanist" w:cs="Arial"/>
          <w:sz w:val="20"/>
          <w:szCs w:val="20"/>
        </w:rPr>
      </w:pPr>
    </w:p>
    <w:p w:rsidR="008261C4" w:rsidRPr="002F6B1D" w:rsidRDefault="008261C4" w:rsidP="002F6B1D">
      <w:pPr>
        <w:pStyle w:val="Textoindependiente3"/>
        <w:tabs>
          <w:tab w:val="left" w:pos="284"/>
        </w:tabs>
        <w:spacing w:after="0" w:line="276" w:lineRule="auto"/>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TERCERO</w:t>
      </w:r>
      <w:r w:rsidRPr="002F6B1D">
        <w:rPr>
          <w:rFonts w:ascii="Geomanist" w:hAnsi="Geomanist" w:cs="Arial"/>
          <w:sz w:val="20"/>
          <w:szCs w:val="20"/>
        </w:rPr>
        <w:t xml:space="preserve">. En términos del artículo 133 de la Ley </w:t>
      </w:r>
      <w:r w:rsidR="008015CD"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que señala:</w:t>
      </w:r>
    </w:p>
    <w:p w:rsidR="00427096" w:rsidRPr="002F6B1D" w:rsidRDefault="00427096"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left="567" w:right="426"/>
        <w:jc w:val="both"/>
        <w:rPr>
          <w:rFonts w:ascii="Geomanist" w:hAnsi="Geomanist" w:cs="Arial"/>
          <w:i/>
          <w:sz w:val="20"/>
          <w:szCs w:val="20"/>
        </w:rPr>
      </w:pPr>
      <w:r w:rsidRPr="002F6B1D">
        <w:rPr>
          <w:rFonts w:ascii="Geomanist" w:hAnsi="Geomanist" w:cs="Arial"/>
          <w:i/>
          <w:sz w:val="20"/>
          <w:szCs w:val="20"/>
        </w:rPr>
        <w:t>“Artículo 133.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427096" w:rsidRDefault="00427096" w:rsidP="002F6B1D">
      <w:pPr>
        <w:autoSpaceDE w:val="0"/>
        <w:autoSpaceDN w:val="0"/>
        <w:adjustRightInd w:val="0"/>
        <w:spacing w:line="276" w:lineRule="auto"/>
        <w:ind w:right="48"/>
        <w:jc w:val="both"/>
        <w:rPr>
          <w:rFonts w:ascii="Geomanist" w:hAnsi="Geomanist" w:cs="Arial"/>
          <w:sz w:val="20"/>
          <w:szCs w:val="20"/>
        </w:rPr>
      </w:pPr>
    </w:p>
    <w:p w:rsidR="008261C4" w:rsidRPr="002F6B1D" w:rsidRDefault="008261C4"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CUARTO</w:t>
      </w:r>
      <w:r w:rsidRPr="002F6B1D">
        <w:rPr>
          <w:rFonts w:ascii="Geomanist" w:hAnsi="Geomanist" w:cs="Arial"/>
          <w:sz w:val="20"/>
          <w:szCs w:val="20"/>
        </w:rPr>
        <w:t xml:space="preserve">. Miriam Guadalupe Herrera Segura, Directora de Planeación y Titular de la Unidad de Transparencia realizó las gestiones al interior </w:t>
      </w:r>
      <w:r w:rsidR="001E190B">
        <w:rPr>
          <w:rFonts w:ascii="Geomanist" w:hAnsi="Geomanist" w:cs="Arial"/>
          <w:sz w:val="20"/>
          <w:szCs w:val="20"/>
        </w:rPr>
        <w:t>de la Institución en específico,</w:t>
      </w:r>
      <w:r w:rsidRPr="002F6B1D">
        <w:rPr>
          <w:rFonts w:ascii="Geomanist" w:hAnsi="Geomanist" w:cs="Arial"/>
          <w:sz w:val="20"/>
          <w:szCs w:val="20"/>
        </w:rPr>
        <w:t xml:space="preserve"> con </w:t>
      </w:r>
      <w:r w:rsidR="00AB2364">
        <w:rPr>
          <w:rFonts w:ascii="Geomanist" w:hAnsi="Geomanist" w:cs="Arial"/>
          <w:sz w:val="20"/>
          <w:szCs w:val="20"/>
        </w:rPr>
        <w:t>Juan Antonio Gama Gómez, Subdirector de Recursos Materiales, Víctor Hernández Álvarez, Jefe del Departamento de Almacenes y Oscar Sánchez Bermúdez, Jefe del Departamento de Inventario y Activo Fijo esto</w:t>
      </w:r>
      <w:r w:rsidR="00AB2364" w:rsidRPr="002F6B1D" w:rsidDel="003F46EE">
        <w:rPr>
          <w:rFonts w:ascii="Geomanist" w:hAnsi="Geomanist" w:cs="Arial"/>
          <w:sz w:val="20"/>
          <w:szCs w:val="20"/>
        </w:rPr>
        <w:t xml:space="preserve"> </w:t>
      </w:r>
      <w:r w:rsidR="00AB2364" w:rsidRPr="002F6B1D">
        <w:rPr>
          <w:rFonts w:ascii="Geomanist" w:hAnsi="Geomanist" w:cs="Arial"/>
          <w:sz w:val="20"/>
          <w:szCs w:val="20"/>
        </w:rPr>
        <w:t>para que realizar</w:t>
      </w:r>
      <w:r w:rsidR="00AB2364">
        <w:rPr>
          <w:rFonts w:ascii="Geomanist" w:hAnsi="Geomanist" w:cs="Arial"/>
          <w:sz w:val="20"/>
          <w:szCs w:val="20"/>
        </w:rPr>
        <w:t>án</w:t>
      </w:r>
      <w:r w:rsidR="00AB2364" w:rsidRPr="002F6B1D">
        <w:rPr>
          <w:rFonts w:ascii="Geomanist" w:hAnsi="Geomanist" w:cs="Arial"/>
          <w:sz w:val="20"/>
          <w:szCs w:val="20"/>
        </w:rPr>
        <w:t xml:space="preserve"> la búsqueda de información</w:t>
      </w:r>
      <w:r w:rsidRPr="002F6B1D">
        <w:rPr>
          <w:rFonts w:ascii="Geomanist" w:hAnsi="Geomanist" w:cs="Arial"/>
          <w:sz w:val="20"/>
          <w:szCs w:val="20"/>
        </w:rPr>
        <w:t>, que en el ámbito de su competencia se haya generado.</w:t>
      </w:r>
    </w:p>
    <w:p w:rsidR="00427096" w:rsidRDefault="00427096" w:rsidP="002F6B1D">
      <w:pPr>
        <w:pStyle w:val="Textoindependiente3"/>
        <w:tabs>
          <w:tab w:val="left" w:pos="284"/>
        </w:tabs>
        <w:spacing w:after="0" w:line="276" w:lineRule="auto"/>
        <w:jc w:val="both"/>
        <w:rPr>
          <w:rFonts w:ascii="Geomanist" w:hAnsi="Geomanist" w:cs="Arial"/>
          <w:sz w:val="20"/>
          <w:szCs w:val="20"/>
        </w:rPr>
      </w:pPr>
    </w:p>
    <w:p w:rsidR="008261C4" w:rsidRPr="002F6B1D" w:rsidRDefault="008261C4" w:rsidP="002F6B1D">
      <w:pPr>
        <w:pStyle w:val="Textoindependiente3"/>
        <w:tabs>
          <w:tab w:val="left" w:pos="284"/>
        </w:tabs>
        <w:spacing w:after="0" w:line="276" w:lineRule="auto"/>
        <w:jc w:val="both"/>
        <w:rPr>
          <w:rFonts w:ascii="Geomanist" w:hAnsi="Geomanist" w:cs="Arial"/>
          <w:sz w:val="20"/>
          <w:szCs w:val="20"/>
        </w:rPr>
      </w:pPr>
    </w:p>
    <w:p w:rsidR="00427096" w:rsidRDefault="00427096" w:rsidP="002F6B1D">
      <w:pPr>
        <w:jc w:val="both"/>
        <w:rPr>
          <w:rFonts w:ascii="Geomanist" w:hAnsi="Geomanist" w:cs="Arial"/>
          <w:sz w:val="20"/>
          <w:szCs w:val="20"/>
        </w:rPr>
      </w:pPr>
      <w:r w:rsidRPr="002F6B1D">
        <w:rPr>
          <w:rFonts w:ascii="Geomanist" w:hAnsi="Geomanist" w:cs="Arial"/>
          <w:b/>
          <w:sz w:val="20"/>
          <w:szCs w:val="20"/>
        </w:rPr>
        <w:t>QUINTO</w:t>
      </w:r>
      <w:r w:rsidRPr="002F6B1D">
        <w:rPr>
          <w:rFonts w:ascii="Geomanist" w:hAnsi="Geomanist" w:cs="Arial"/>
          <w:sz w:val="20"/>
          <w:szCs w:val="20"/>
        </w:rPr>
        <w:t xml:space="preserve">. </w:t>
      </w:r>
      <w:r w:rsidR="00AB2364">
        <w:rPr>
          <w:rFonts w:ascii="Geomanist" w:hAnsi="Geomanist" w:cs="Arial"/>
          <w:sz w:val="20"/>
          <w:szCs w:val="20"/>
        </w:rPr>
        <w:t xml:space="preserve">De manera que </w:t>
      </w:r>
      <w:r w:rsidR="005B08E8">
        <w:rPr>
          <w:rFonts w:ascii="Geomanist" w:hAnsi="Geomanist" w:cs="Arial"/>
          <w:sz w:val="20"/>
          <w:szCs w:val="20"/>
        </w:rPr>
        <w:t xml:space="preserve"> </w:t>
      </w:r>
      <w:r w:rsidR="00AB2364" w:rsidRPr="0019675F">
        <w:rPr>
          <w:rFonts w:ascii="Geomanist" w:eastAsia="Times New Roman" w:hAnsi="Geomanist" w:cs="Arial"/>
          <w:sz w:val="20"/>
          <w:szCs w:val="20"/>
          <w:lang w:val="es-ES_tradnl" w:eastAsia="es-ES"/>
        </w:rPr>
        <w:t xml:space="preserve">por instrucciones del Juan A. Gama Gómez. Subdirector de Recursos Materiales, Oscar Sánchez Bermúdez, Jefe del Departamento de Inventario y Activo Fijo hizo llegar a la Unidad de Transparencia en formato PDF la versión pública de la documentación solicitada; así como la versión </w:t>
      </w:r>
      <w:r w:rsidR="00C056CA">
        <w:rPr>
          <w:rFonts w:ascii="Geomanist" w:eastAsia="Times New Roman" w:hAnsi="Geomanist" w:cs="Arial"/>
          <w:sz w:val="20"/>
          <w:szCs w:val="20"/>
          <w:lang w:val="es-ES_tradnl" w:eastAsia="es-ES"/>
        </w:rPr>
        <w:t xml:space="preserve">íntegra </w:t>
      </w:r>
      <w:r w:rsidR="00AB2364" w:rsidRPr="0019675F">
        <w:rPr>
          <w:rFonts w:ascii="Geomanist" w:eastAsia="Times New Roman" w:hAnsi="Geomanist" w:cs="Arial"/>
          <w:sz w:val="20"/>
          <w:szCs w:val="20"/>
          <w:lang w:val="es-ES_tradnl" w:eastAsia="es-ES"/>
        </w:rPr>
        <w:t xml:space="preserve">de la misma (Contrato, </w:t>
      </w:r>
      <w:r w:rsidR="00AB2364">
        <w:rPr>
          <w:rFonts w:ascii="Geomanist" w:eastAsia="Times New Roman" w:hAnsi="Geomanist" w:cs="Arial"/>
          <w:sz w:val="20"/>
          <w:szCs w:val="20"/>
          <w:lang w:val="es-ES_tradnl" w:eastAsia="es-ES"/>
        </w:rPr>
        <w:t xml:space="preserve">factura y orden de surtimiento), </w:t>
      </w:r>
      <w:r w:rsidRPr="002F6B1D">
        <w:rPr>
          <w:rFonts w:ascii="Geomanist" w:hAnsi="Geomanist" w:cs="Arial"/>
          <w:sz w:val="20"/>
          <w:szCs w:val="20"/>
        </w:rPr>
        <w:t xml:space="preserve">a fin de que se someta al Comité de Transparencia para confirmar la clasificación </w:t>
      </w:r>
      <w:r w:rsidR="00F92078">
        <w:rPr>
          <w:rFonts w:ascii="Geomanist" w:hAnsi="Geomanist" w:cs="Arial"/>
          <w:sz w:val="20"/>
          <w:szCs w:val="20"/>
        </w:rPr>
        <w:t xml:space="preserve">de la información confidencial </w:t>
      </w:r>
      <w:r w:rsidRPr="002F6B1D">
        <w:rPr>
          <w:rFonts w:ascii="Geomanist" w:hAnsi="Geomanist" w:cs="Arial"/>
          <w:sz w:val="20"/>
          <w:szCs w:val="20"/>
        </w:rPr>
        <w:t>y aprobación de la versión pública</w:t>
      </w:r>
      <w:r w:rsidR="00507006" w:rsidRPr="002F6B1D">
        <w:rPr>
          <w:rFonts w:ascii="Geomanist" w:hAnsi="Geomanist" w:cs="Arial"/>
          <w:sz w:val="20"/>
          <w:szCs w:val="20"/>
        </w:rPr>
        <w:t>, con fundamento en los artículos 120, 121 y 122</w:t>
      </w:r>
      <w:r w:rsidRPr="002F6B1D">
        <w:rPr>
          <w:rFonts w:ascii="Geomanist" w:hAnsi="Geomanist" w:cs="Arial"/>
          <w:sz w:val="20"/>
          <w:szCs w:val="20"/>
        </w:rPr>
        <w:t xml:space="preserve"> la Ley </w:t>
      </w:r>
      <w:r w:rsidR="00507006"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por lo que la presente resolución se enfocará en determinar la procedencia de la confidencialidad de los datos testados, misma que a continuación se analiza.</w:t>
      </w:r>
    </w:p>
    <w:p w:rsidR="00A26C3D" w:rsidRDefault="00A26C3D" w:rsidP="002F6B1D">
      <w:pPr>
        <w:jc w:val="both"/>
        <w:rPr>
          <w:rFonts w:ascii="Geomanist" w:hAnsi="Geomanist" w:cs="Arial"/>
          <w:sz w:val="20"/>
          <w:szCs w:val="20"/>
        </w:rPr>
      </w:pPr>
    </w:p>
    <w:p w:rsidR="00A26C3D" w:rsidRDefault="00A26C3D" w:rsidP="009308D3">
      <w:pPr>
        <w:ind w:left="851" w:right="616"/>
        <w:jc w:val="both"/>
        <w:rPr>
          <w:rFonts w:ascii="Geomanist" w:eastAsia="Times New Roman" w:hAnsi="Geomanist" w:cs="Arial"/>
          <w:sz w:val="20"/>
          <w:szCs w:val="20"/>
          <w:lang w:val="es-ES_tradnl" w:eastAsia="es-ES"/>
        </w:rPr>
      </w:pPr>
      <w:r w:rsidRPr="00A26C3D">
        <w:rPr>
          <w:rFonts w:ascii="Geomanist" w:hAnsi="Geomanist" w:cs="Arial"/>
          <w:b/>
          <w:sz w:val="20"/>
          <w:szCs w:val="20"/>
        </w:rPr>
        <w:t>Cadena original</w:t>
      </w:r>
      <w:r>
        <w:rPr>
          <w:rFonts w:ascii="Geomanist" w:hAnsi="Geomanist" w:cs="Arial"/>
          <w:b/>
          <w:sz w:val="20"/>
          <w:szCs w:val="20"/>
        </w:rPr>
        <w:t xml:space="preserve"> </w:t>
      </w:r>
      <w:r w:rsidRPr="00A26C3D">
        <w:rPr>
          <w:rFonts w:ascii="Geomanist" w:hAnsi="Geomanist" w:cs="Arial"/>
          <w:b/>
          <w:sz w:val="20"/>
          <w:szCs w:val="20"/>
        </w:rPr>
        <w:t>del</w:t>
      </w:r>
      <w:r>
        <w:rPr>
          <w:rFonts w:ascii="Geomanist" w:hAnsi="Geomanist" w:cs="Arial"/>
          <w:b/>
          <w:sz w:val="20"/>
          <w:szCs w:val="20"/>
        </w:rPr>
        <w:t xml:space="preserve"> </w:t>
      </w:r>
      <w:r w:rsidRPr="00A26C3D">
        <w:rPr>
          <w:rFonts w:ascii="Geomanist" w:hAnsi="Geomanist" w:cs="Arial"/>
          <w:b/>
          <w:sz w:val="20"/>
          <w:szCs w:val="20"/>
        </w:rPr>
        <w:t>complemento</w:t>
      </w:r>
      <w:r>
        <w:rPr>
          <w:rFonts w:ascii="Geomanist" w:hAnsi="Geomanist" w:cs="Arial"/>
          <w:b/>
          <w:sz w:val="20"/>
          <w:szCs w:val="20"/>
        </w:rPr>
        <w:t xml:space="preserve"> </w:t>
      </w:r>
      <w:r w:rsidRPr="00A26C3D">
        <w:rPr>
          <w:rFonts w:ascii="Geomanist" w:hAnsi="Geomanist" w:cs="Arial"/>
          <w:b/>
          <w:sz w:val="20"/>
          <w:szCs w:val="20"/>
        </w:rPr>
        <w:t>de certificación</w:t>
      </w:r>
      <w:r>
        <w:rPr>
          <w:rFonts w:ascii="Geomanist" w:hAnsi="Geomanist" w:cs="Arial"/>
          <w:b/>
          <w:sz w:val="20"/>
          <w:szCs w:val="20"/>
        </w:rPr>
        <w:t xml:space="preserve"> </w:t>
      </w:r>
      <w:r w:rsidRPr="00A26C3D">
        <w:rPr>
          <w:rFonts w:ascii="Geomanist" w:hAnsi="Geomanist" w:cs="Arial"/>
          <w:b/>
          <w:sz w:val="20"/>
          <w:szCs w:val="20"/>
        </w:rPr>
        <w:t>digital del SAT</w:t>
      </w:r>
      <w:r>
        <w:rPr>
          <w:rFonts w:ascii="Geomanist" w:hAnsi="Geomanist" w:cs="Arial"/>
          <w:b/>
          <w:sz w:val="20"/>
          <w:szCs w:val="20"/>
        </w:rPr>
        <w:t xml:space="preserve">. </w:t>
      </w:r>
      <w:r w:rsidRPr="00A26C3D">
        <w:rPr>
          <w:rFonts w:ascii="Geomanist" w:eastAsia="Times New Roman" w:hAnsi="Geomanist" w:cs="Arial"/>
          <w:sz w:val="20"/>
          <w:szCs w:val="20"/>
          <w:lang w:val="es-ES_tradnl" w:eastAsia="es-ES"/>
        </w:rPr>
        <w:t xml:space="preserve">Que en la Resolución RRA 09673/20 señaló el INAI que de la cadena original se pueden obtener datos personales de los contribuyentes, tales como: RFC del emisor, RFC del receptor, folio fiscal y resumen general de la factura electrónica tales como totales de percepciones, retenciones. De acuerdo a lo anterior, se advierte que la cadena original se constituye como información que únicamente les atañe a los contribuyentes; así en el caso que nos ocupa, al acceder a la Cadena Original, también se estaría dando acceso al RFC del particular; en virtud de lo anterior, resulta procedente la confidencialidad de dicho dato, </w:t>
      </w:r>
      <w:r w:rsidR="00484EEC" w:rsidRPr="00484EEC">
        <w:rPr>
          <w:rFonts w:ascii="Geomanist" w:eastAsia="Times New Roman" w:hAnsi="Geomanist" w:cs="Arial"/>
          <w:sz w:val="20"/>
          <w:szCs w:val="20"/>
          <w:lang w:val="es-ES_tradnl" w:eastAsia="es-ES"/>
        </w:rPr>
        <w:t>con fundamento en el artículo 115, de la Ley General de Transparencia y Acceso a la Información Pública.</w:t>
      </w:r>
    </w:p>
    <w:p w:rsidR="00484EEC" w:rsidRDefault="00484EEC" w:rsidP="00A26C3D">
      <w:pPr>
        <w:jc w:val="both"/>
        <w:rPr>
          <w:rFonts w:ascii="Geomanist" w:eastAsia="Times New Roman" w:hAnsi="Geomanist" w:cs="Arial"/>
          <w:sz w:val="20"/>
          <w:szCs w:val="20"/>
          <w:lang w:val="es-ES_tradnl" w:eastAsia="es-ES"/>
        </w:rPr>
      </w:pPr>
    </w:p>
    <w:p w:rsidR="00A26C3D" w:rsidRDefault="00A26C3D" w:rsidP="009308D3">
      <w:pPr>
        <w:ind w:left="851" w:right="616"/>
        <w:jc w:val="both"/>
        <w:rPr>
          <w:rFonts w:ascii="Geomanist" w:eastAsia="Times New Roman" w:hAnsi="Geomanist" w:cs="Arial"/>
          <w:sz w:val="20"/>
          <w:szCs w:val="20"/>
          <w:lang w:val="es-ES_tradnl" w:eastAsia="es-ES"/>
        </w:rPr>
      </w:pPr>
      <w:r w:rsidRPr="00A26C3D">
        <w:rPr>
          <w:rFonts w:ascii="Geomanist" w:hAnsi="Geomanist" w:cs="Arial"/>
          <w:b/>
          <w:sz w:val="20"/>
          <w:szCs w:val="20"/>
        </w:rPr>
        <w:t>Folio fiscal.</w:t>
      </w:r>
      <w:r>
        <w:t xml:space="preserve"> </w:t>
      </w:r>
      <w:r w:rsidRPr="00A26C3D">
        <w:rPr>
          <w:rFonts w:ascii="Geomanist" w:eastAsia="Times New Roman" w:hAnsi="Geomanist" w:cs="Arial"/>
          <w:sz w:val="20"/>
          <w:szCs w:val="20"/>
          <w:lang w:val="es-ES_tradnl" w:eastAsia="es-ES"/>
        </w:rPr>
        <w:t>Que en la Resolución RRA 7502/18</w:t>
      </w:r>
      <w:r>
        <w:rPr>
          <w:rFonts w:ascii="Geomanist" w:eastAsia="Times New Roman" w:hAnsi="Geomanist" w:cs="Arial"/>
          <w:sz w:val="20"/>
          <w:szCs w:val="20"/>
          <w:lang w:val="es-ES_tradnl" w:eastAsia="es-ES"/>
        </w:rPr>
        <w:t xml:space="preserve"> y RRA 09673/20 el INAI advirtió</w:t>
      </w:r>
      <w:r w:rsidRPr="00A26C3D">
        <w:rPr>
          <w:rFonts w:ascii="Geomanist" w:eastAsia="Times New Roman" w:hAnsi="Geomanist" w:cs="Arial"/>
          <w:sz w:val="20"/>
          <w:szCs w:val="20"/>
          <w:lang w:val="es-ES_tradnl" w:eastAsia="es-ES"/>
        </w:rPr>
        <w:t xml:space="preserve"> que el número de folio de la factura permite identificar el documento emitido. La factura electrónica es entonces un comprobante fiscal digital y se define como un documento digital con validez legal, que utiliza estándares técnicos de seguridad internacionalmente reconocidos para garantizar la integridad, confidencialidad, autenticidad, unicidad y no repudio de la factura. La factura electrónica al ser la versión electrónica de las facturas tradicionales en papel, debe ser funcional y legalmente equivalente a estas últimas. De manera que el folio fiscal con el que cuenta, permite identificar la emisión de dicha factura a efecto de no duplicar información. En este sentido, la cifra referida sólo sirve para tener un control de las facturas emitidas y facilitar el rastreo por parte de la persona moral en caso de búsqueda del documento fuente y, en su caso, llevar a cabo su consulta y/o cancelación en la página del Servicio de Administración Tributaria (SAT). En tal virtud, podría considerarse que, mediante la publicidad del número de folio de la factura, se podría rastrear la factura emitida en la página del SAT, y en su caso, vulnerar el derecho a la protección de datos personales que se desprenden del documento fuente, en este caso, la factura emitida. En consecuencia, el folio fiscal de la factura es información de carácter confidencial </w:t>
      </w:r>
      <w:r w:rsidR="00484EEC" w:rsidRPr="00484EEC">
        <w:rPr>
          <w:rFonts w:ascii="Geomanist" w:eastAsia="Times New Roman" w:hAnsi="Geomanist" w:cs="Arial"/>
          <w:sz w:val="20"/>
          <w:szCs w:val="20"/>
          <w:lang w:val="es-ES_tradnl" w:eastAsia="es-ES"/>
        </w:rPr>
        <w:t>con fundamento en el artículo 115, de la Ley General de Transparencia y Acceso a la Información Pública.</w:t>
      </w:r>
    </w:p>
    <w:p w:rsidR="00A26C3D" w:rsidRDefault="00A26C3D" w:rsidP="00A26C3D">
      <w:pPr>
        <w:jc w:val="both"/>
        <w:rPr>
          <w:rFonts w:ascii="Geomanist" w:eastAsia="Times New Roman" w:hAnsi="Geomanist" w:cs="Arial"/>
          <w:sz w:val="20"/>
          <w:szCs w:val="20"/>
          <w:lang w:val="es-ES_tradnl" w:eastAsia="es-ES"/>
        </w:rPr>
      </w:pPr>
    </w:p>
    <w:p w:rsidR="007F0AFC" w:rsidRDefault="00A26C3D" w:rsidP="009308D3">
      <w:pPr>
        <w:ind w:left="851" w:right="616"/>
        <w:jc w:val="both"/>
        <w:rPr>
          <w:rFonts w:ascii="Geomanist" w:eastAsia="Times New Roman" w:hAnsi="Geomanist" w:cs="Arial"/>
          <w:sz w:val="20"/>
          <w:szCs w:val="20"/>
          <w:lang w:val="es-ES_tradnl" w:eastAsia="es-ES"/>
        </w:rPr>
      </w:pPr>
      <w:r w:rsidRPr="00A26C3D">
        <w:rPr>
          <w:rFonts w:ascii="Geomanist" w:eastAsia="Times New Roman" w:hAnsi="Geomanist" w:cs="Arial"/>
          <w:b/>
          <w:sz w:val="20"/>
          <w:szCs w:val="20"/>
          <w:lang w:val="es-ES_tradnl" w:eastAsia="es-ES"/>
        </w:rPr>
        <w:t xml:space="preserve">Número de serie del CSD Certificado de Sello Digital (CSD) </w:t>
      </w:r>
      <w:r>
        <w:rPr>
          <w:rFonts w:ascii="Geomanist" w:eastAsia="Times New Roman" w:hAnsi="Geomanist" w:cs="Arial"/>
          <w:b/>
          <w:sz w:val="20"/>
          <w:szCs w:val="20"/>
          <w:lang w:val="es-ES_tradnl" w:eastAsia="es-ES"/>
        </w:rPr>
        <w:t>–</w:t>
      </w:r>
      <w:r w:rsidRPr="00A26C3D">
        <w:rPr>
          <w:rFonts w:ascii="Geomanist" w:eastAsia="Times New Roman" w:hAnsi="Geomanist" w:cs="Arial"/>
          <w:b/>
          <w:sz w:val="20"/>
          <w:szCs w:val="20"/>
          <w:lang w:val="es-ES_tradnl" w:eastAsia="es-ES"/>
        </w:rPr>
        <w:t xml:space="preserve"> SAT</w:t>
      </w:r>
      <w:r>
        <w:rPr>
          <w:rFonts w:ascii="Geomanist" w:eastAsia="Times New Roman" w:hAnsi="Geomanist" w:cs="Arial"/>
          <w:b/>
          <w:sz w:val="20"/>
          <w:szCs w:val="20"/>
          <w:lang w:val="es-ES_tradnl" w:eastAsia="es-ES"/>
        </w:rPr>
        <w:t xml:space="preserve">. </w:t>
      </w:r>
      <w:r w:rsidRPr="00A26C3D">
        <w:rPr>
          <w:rFonts w:ascii="Geomanist" w:eastAsia="Times New Roman" w:hAnsi="Geomanist" w:cs="Arial"/>
          <w:sz w:val="20"/>
          <w:szCs w:val="20"/>
          <w:lang w:val="es-ES_tradnl" w:eastAsia="es-ES"/>
        </w:rPr>
        <w:t xml:space="preserve">Que en la Resolución RRA 09673/20 señaló el INAI que el certificado de sello digital o el número de Serie del Certificado de Sello Digital, es un documento electrónico proporcionado por el Servicio de Administración Tributaria, el cual está vinculado al certificado de la firma electrónica avanzada y, por tanto, a la identidad de su propietario, debido a que su función es habilitar al titular para emitir y sellar digitalmente facturas electrónicas. Por medio de ellos, el contribuyente podrá sellar electrónicamente la cadena original de las facturas electrónicas que emita; garantizándose el origen de la misma, la unicidad y las demás características que se heredan de los certificados de firma electrónica avanzada. El sello digital es el conjunto de datos asociados al emisor y a los datos del documento, por lo tanto, es único e irrepetible. Se trata del </w:t>
      </w:r>
      <w:r w:rsidRPr="00A26C3D">
        <w:rPr>
          <w:rFonts w:ascii="Geomanist" w:eastAsia="Times New Roman" w:hAnsi="Geomanist" w:cs="Arial"/>
          <w:sz w:val="20"/>
          <w:szCs w:val="20"/>
          <w:lang w:val="es-ES_tradnl" w:eastAsia="es-ES"/>
        </w:rPr>
        <w:lastRenderedPageBreak/>
        <w:t xml:space="preserve">elemento de seguridad en una factura, ya que a través de él se puede detectar si un mensaje ha sido alterado y quién es el autor del documento. El Sello Digital es una serie de caracteres que se forma como resultado de </w:t>
      </w:r>
      <w:proofErr w:type="spellStart"/>
      <w:r w:rsidRPr="00A26C3D">
        <w:rPr>
          <w:rFonts w:ascii="Geomanist" w:eastAsia="Times New Roman" w:hAnsi="Geomanist" w:cs="Arial"/>
          <w:sz w:val="20"/>
          <w:szCs w:val="20"/>
          <w:lang w:val="es-ES_tradnl" w:eastAsia="es-ES"/>
        </w:rPr>
        <w:t>encriptar</w:t>
      </w:r>
      <w:proofErr w:type="spellEnd"/>
      <w:r w:rsidRPr="00A26C3D">
        <w:rPr>
          <w:rFonts w:ascii="Geomanist" w:eastAsia="Times New Roman" w:hAnsi="Geomanist" w:cs="Arial"/>
          <w:sz w:val="20"/>
          <w:szCs w:val="20"/>
          <w:lang w:val="es-ES_tradnl" w:eastAsia="es-ES"/>
        </w:rPr>
        <w:t xml:space="preserve"> la información de la Cadena Original del Comprobante, lo que hace que el comprobante sea infalsificable ya que cualquier cambio en los datos, generaría un sello diferente al original. Para el caso que nos atañe, el Sello Digital del CFDI correspondiente a una persona física, daría cuenta del autor de documento, que es una persona de derecho privado. En ese sentido, de acuerdo con lo anterior, se tendría que dicho dato da cuenta de la información de una persona de derecho privado, lo cual resultaría su clasificación. Ello de conformidad </w:t>
      </w:r>
      <w:r w:rsidR="00484EEC" w:rsidRPr="00484EEC">
        <w:rPr>
          <w:rFonts w:ascii="Geomanist" w:eastAsia="Times New Roman" w:hAnsi="Geomanist" w:cs="Arial"/>
          <w:sz w:val="20"/>
          <w:szCs w:val="20"/>
          <w:lang w:val="es-ES_tradnl" w:eastAsia="es-ES"/>
        </w:rPr>
        <w:t>con fundamento en el artículo 115, de la Ley General de Transparencia y Acceso a la Información Pública.</w:t>
      </w:r>
    </w:p>
    <w:p w:rsidR="00484EEC" w:rsidRPr="002F6B1D" w:rsidRDefault="00484EEC" w:rsidP="00484EEC">
      <w:pPr>
        <w:jc w:val="both"/>
        <w:rPr>
          <w:rFonts w:ascii="Geomanist" w:eastAsia="Times New Roman" w:hAnsi="Geomanist"/>
          <w:sz w:val="20"/>
          <w:szCs w:val="20"/>
          <w:lang w:val="es-ES_tradnl" w:eastAsia="es-ES"/>
        </w:rPr>
      </w:pPr>
    </w:p>
    <w:p w:rsidR="00484EEC" w:rsidRDefault="00484EEC" w:rsidP="00484EEC">
      <w:pPr>
        <w:spacing w:line="276" w:lineRule="auto"/>
        <w:ind w:left="709" w:right="709"/>
        <w:jc w:val="both"/>
        <w:rPr>
          <w:rFonts w:ascii="Geomanist" w:eastAsia="Times New Roman" w:hAnsi="Geomanist" w:cs="Arial"/>
          <w:sz w:val="20"/>
          <w:szCs w:val="20"/>
          <w:lang w:val="es-ES_tradnl" w:eastAsia="es-ES"/>
        </w:rPr>
      </w:pPr>
      <w:r w:rsidRPr="00484EEC">
        <w:rPr>
          <w:rFonts w:ascii="Geomanist" w:eastAsia="Times New Roman" w:hAnsi="Geomanist" w:cs="Arial"/>
          <w:b/>
          <w:sz w:val="20"/>
          <w:szCs w:val="20"/>
          <w:lang w:val="es-ES_tradnl" w:eastAsia="es-ES"/>
        </w:rPr>
        <w:t xml:space="preserve">Sello del Comprobante Fiscal Digital por Internet (CFDI). </w:t>
      </w:r>
      <w:r w:rsidRPr="00484EEC">
        <w:rPr>
          <w:rFonts w:ascii="Geomanist" w:eastAsia="Times New Roman" w:hAnsi="Geomanist" w:cs="Arial"/>
          <w:sz w:val="20"/>
          <w:szCs w:val="20"/>
          <w:lang w:val="es-ES_tradnl" w:eastAsia="es-ES"/>
        </w:rPr>
        <w:t>Que en la Resolución RRA 09673/20 señaló el INAI que el sello del Comprobante Fiscal Digital por Internet (CFDI) es el resultado de firmar la cadena original que se obtiene de la factura electrónica, en la cual viene información codificada que está asociada al emisor de la factura o de cualquier otro certificado de sello digital y a los datos de la misma; es decir, funge como la firma del emisor del comprobante y lo integra el sistema que utiliza el contribuyente para la emisión del mismo. Además, dicho sello digital contiene datos personales del contribuyente emisor, a saber, el nombre y RFC; no obstante, si la persona descifra algoritmos informáticos, puede acceder a todos los datos personales del contribuyente. Derivado de lo anterior, se advierte que el sello digital del CFDI da cuenta tanto de un dato único e irrepetible con el que se otorga certeza a los actos realizados por su titular, por lo que se vincula con su credibilidad al momento de firmar un comprobante fiscal, así como del nombre y el RFC del contribuyente emisor. Derivado de lo anterior, resulta procedente su clasificación con fundamento en el artículo 115, de la Ley General de Transparencia y Acceso a la Información Pública.</w:t>
      </w:r>
    </w:p>
    <w:p w:rsidR="00484EEC" w:rsidRDefault="00484EEC" w:rsidP="00484EEC">
      <w:pPr>
        <w:spacing w:line="276" w:lineRule="auto"/>
        <w:ind w:left="709" w:right="709"/>
        <w:jc w:val="both"/>
        <w:rPr>
          <w:rFonts w:ascii="Geomanist" w:eastAsia="Times New Roman" w:hAnsi="Geomanist" w:cs="Arial"/>
          <w:sz w:val="20"/>
          <w:szCs w:val="20"/>
          <w:lang w:val="es-ES_tradnl" w:eastAsia="es-ES"/>
        </w:rPr>
      </w:pPr>
    </w:p>
    <w:p w:rsidR="00484EEC" w:rsidRDefault="00484EEC" w:rsidP="00484EEC">
      <w:pPr>
        <w:spacing w:line="276" w:lineRule="auto"/>
        <w:ind w:left="709" w:right="709"/>
        <w:jc w:val="both"/>
        <w:rPr>
          <w:rFonts w:ascii="Geomanist" w:eastAsia="Times New Roman" w:hAnsi="Geomanist" w:cs="Arial"/>
          <w:sz w:val="20"/>
          <w:szCs w:val="20"/>
          <w:lang w:val="es-ES_tradnl" w:eastAsia="es-ES"/>
        </w:rPr>
      </w:pPr>
      <w:r w:rsidRPr="00484EEC">
        <w:rPr>
          <w:rFonts w:ascii="Geomanist" w:eastAsia="Times New Roman" w:hAnsi="Geomanist" w:cs="Arial"/>
          <w:b/>
          <w:sz w:val="20"/>
          <w:szCs w:val="20"/>
          <w:lang w:val="es-ES_tradnl" w:eastAsia="es-ES"/>
        </w:rPr>
        <w:t>Serie del certificado del emisor del Servicio de Administración Tributaria.</w:t>
      </w:r>
      <w:r>
        <w:t xml:space="preserve"> </w:t>
      </w:r>
      <w:r w:rsidRPr="00484EEC">
        <w:rPr>
          <w:rFonts w:ascii="Geomanist" w:eastAsia="Times New Roman" w:hAnsi="Geomanist" w:cs="Arial"/>
          <w:sz w:val="20"/>
          <w:szCs w:val="20"/>
          <w:lang w:val="es-ES_tradnl" w:eastAsia="es-ES"/>
        </w:rPr>
        <w:t xml:space="preserve">Que en la Resolución RRA 7502/18, el INAI advierte que la serie del certificado del emisor es un documento electrónico proporcionado por el Servicio de Administración Tributaria (SAT), el cual está vinculado al certificado de la firma electrónica avanzada y, por tanto, a la identidad de su propietario, en este caso una persona moral, debido a que su función es habilitar al titular para emitir y sellar digitalmente facturas electrónicas. Por medio de ellos, el contribuyente podrá sellar electrónicamente la cadena original de las facturas electrónicas que emita; garantizándose el origen de las mismas, la unicidad y las demás características que se heredan de los certificados de la firma electrónica avanzada. En ese sentido, se desprende que dicho dato </w:t>
      </w:r>
      <w:r w:rsidRPr="00484EEC">
        <w:rPr>
          <w:rFonts w:ascii="Geomanist" w:eastAsia="Times New Roman" w:hAnsi="Geomanist" w:cs="Arial"/>
          <w:sz w:val="20"/>
          <w:szCs w:val="20"/>
          <w:lang w:val="es-ES_tradnl" w:eastAsia="es-ES"/>
        </w:rPr>
        <w:lastRenderedPageBreak/>
        <w:t>contiene información de carácter confidencial relativo a una persona moral, con fundamento en el artículo 115, de la Ley General de Transparencia y Acceso a la Información Pública.</w:t>
      </w:r>
    </w:p>
    <w:p w:rsidR="00484EEC" w:rsidRDefault="00484EEC" w:rsidP="00484EEC">
      <w:pPr>
        <w:spacing w:line="276" w:lineRule="auto"/>
        <w:ind w:left="709" w:right="709"/>
        <w:jc w:val="both"/>
        <w:rPr>
          <w:rFonts w:ascii="Geomanist" w:eastAsia="Times New Roman" w:hAnsi="Geomanist" w:cs="Arial"/>
          <w:sz w:val="20"/>
          <w:szCs w:val="20"/>
          <w:lang w:val="es-ES_tradnl" w:eastAsia="es-ES"/>
        </w:rPr>
      </w:pPr>
    </w:p>
    <w:p w:rsidR="00484EEC" w:rsidRDefault="00484EEC" w:rsidP="00484EEC">
      <w:pPr>
        <w:spacing w:line="276" w:lineRule="auto"/>
        <w:ind w:left="709" w:right="709"/>
        <w:jc w:val="both"/>
        <w:rPr>
          <w:rFonts w:ascii="Geomanist" w:eastAsia="Times New Roman" w:hAnsi="Geomanist" w:cs="Arial"/>
          <w:sz w:val="20"/>
          <w:szCs w:val="20"/>
          <w:lang w:val="es-ES_tradnl" w:eastAsia="es-ES"/>
        </w:rPr>
      </w:pPr>
      <w:r w:rsidRPr="00484EEC">
        <w:rPr>
          <w:rFonts w:ascii="Geomanist" w:eastAsia="Times New Roman" w:hAnsi="Geomanist" w:cs="Arial"/>
          <w:b/>
          <w:sz w:val="20"/>
          <w:szCs w:val="20"/>
          <w:lang w:val="es-ES_tradnl" w:eastAsia="es-ES"/>
        </w:rPr>
        <w:t xml:space="preserve">Código QR. </w:t>
      </w:r>
      <w:r w:rsidRPr="00484EEC">
        <w:rPr>
          <w:rFonts w:ascii="Geomanist" w:eastAsia="Times New Roman" w:hAnsi="Geomanist" w:cs="Arial"/>
          <w:sz w:val="20"/>
          <w:szCs w:val="20"/>
          <w:lang w:val="es-ES_tradnl" w:eastAsia="es-ES"/>
        </w:rPr>
        <w:t xml:space="preserve">Que en la Resolución RRA 7502/18, el INAI advierte que el código QR (del inglés Quick Response </w:t>
      </w:r>
      <w:proofErr w:type="spellStart"/>
      <w:r w:rsidRPr="00484EEC">
        <w:rPr>
          <w:rFonts w:ascii="Geomanist" w:eastAsia="Times New Roman" w:hAnsi="Geomanist" w:cs="Arial"/>
          <w:sz w:val="20"/>
          <w:szCs w:val="20"/>
          <w:lang w:val="es-ES_tradnl" w:eastAsia="es-ES"/>
        </w:rPr>
        <w:t>Code</w:t>
      </w:r>
      <w:proofErr w:type="spellEnd"/>
      <w:r w:rsidRPr="00484EEC">
        <w:rPr>
          <w:rFonts w:ascii="Geomanist" w:eastAsia="Times New Roman" w:hAnsi="Geomanist" w:cs="Arial"/>
          <w:sz w:val="20"/>
          <w:szCs w:val="20"/>
          <w:lang w:val="es-ES_tradnl" w:eastAsia="es-ES"/>
        </w:rPr>
        <w:t xml:space="preserve">, código de respuesta rápida) es la evolución del código de barras. Es un módulo para almacenar información en una matriz de puntos o en un código de barras bidimensional, el cual presenta tres cuadrados en las esquinas que permiten detectar la posición del código al lector. Los códigos QR almacenan información y están adaptados a los dispositivos electrónicos como </w:t>
      </w:r>
      <w:proofErr w:type="spellStart"/>
      <w:r w:rsidRPr="00484EEC">
        <w:rPr>
          <w:rFonts w:ascii="Geomanist" w:eastAsia="Times New Roman" w:hAnsi="Geomanist" w:cs="Arial"/>
          <w:sz w:val="20"/>
          <w:szCs w:val="20"/>
          <w:lang w:val="es-ES_tradnl" w:eastAsia="es-ES"/>
        </w:rPr>
        <w:t>Smartphones</w:t>
      </w:r>
      <w:proofErr w:type="spellEnd"/>
      <w:r w:rsidRPr="00484EEC">
        <w:rPr>
          <w:rFonts w:ascii="Geomanist" w:eastAsia="Times New Roman" w:hAnsi="Geomanist" w:cs="Arial"/>
          <w:sz w:val="20"/>
          <w:szCs w:val="20"/>
          <w:lang w:val="es-ES_tradnl" w:eastAsia="es-ES"/>
        </w:rPr>
        <w:t xml:space="preserve"> o tabletas, permitiendo descifrar el código y trasladarlo directamente a un enlace o archivo, decodificando la información </w:t>
      </w:r>
      <w:proofErr w:type="spellStart"/>
      <w:r w:rsidRPr="00484EEC">
        <w:rPr>
          <w:rFonts w:ascii="Geomanist" w:eastAsia="Times New Roman" w:hAnsi="Geomanist" w:cs="Arial"/>
          <w:sz w:val="20"/>
          <w:szCs w:val="20"/>
          <w:lang w:val="es-ES_tradnl" w:eastAsia="es-ES"/>
        </w:rPr>
        <w:t>encriptada</w:t>
      </w:r>
      <w:proofErr w:type="spellEnd"/>
      <w:r w:rsidRPr="00484EEC">
        <w:rPr>
          <w:rFonts w:ascii="Geomanist" w:eastAsia="Times New Roman" w:hAnsi="Geomanist" w:cs="Arial"/>
          <w:sz w:val="20"/>
          <w:szCs w:val="20"/>
          <w:lang w:val="es-ES_tradnl" w:eastAsia="es-ES"/>
        </w:rPr>
        <w:t>, por lo que podrían dar acceso a la información relativa a una persona física o moral que únicamente incumbe a su titular o personas autorizadas para el acceso o consulta de la misma, por lo que resulta procedente su clasificación, con fundamento en el artículo 115, de la Ley General de Transparencia y Acceso a la Información Pública.</w:t>
      </w:r>
    </w:p>
    <w:p w:rsidR="00484EEC" w:rsidRDefault="00484EEC" w:rsidP="00484EEC">
      <w:pPr>
        <w:spacing w:line="276" w:lineRule="auto"/>
        <w:ind w:left="709" w:right="709"/>
        <w:jc w:val="both"/>
        <w:rPr>
          <w:rFonts w:ascii="Geomanist" w:eastAsia="Times New Roman" w:hAnsi="Geomanist" w:cs="Arial"/>
          <w:sz w:val="20"/>
          <w:szCs w:val="20"/>
          <w:lang w:val="es-ES_tradnl" w:eastAsia="es-ES"/>
        </w:rPr>
      </w:pPr>
    </w:p>
    <w:p w:rsidR="00484EEC" w:rsidRDefault="00484EEC" w:rsidP="00484EEC">
      <w:pPr>
        <w:spacing w:line="276" w:lineRule="auto"/>
        <w:ind w:left="709" w:right="709"/>
        <w:jc w:val="both"/>
        <w:rPr>
          <w:rFonts w:ascii="Geomanist" w:eastAsia="Times New Roman" w:hAnsi="Geomanist" w:cs="Arial"/>
          <w:sz w:val="20"/>
          <w:szCs w:val="20"/>
          <w:lang w:val="es-ES_tradnl" w:eastAsia="es-ES"/>
        </w:rPr>
      </w:pPr>
      <w:r w:rsidRPr="00484EEC">
        <w:rPr>
          <w:rFonts w:ascii="Geomanist" w:eastAsia="Times New Roman" w:hAnsi="Geomanist" w:cs="Arial"/>
          <w:b/>
          <w:sz w:val="20"/>
          <w:szCs w:val="20"/>
          <w:lang w:val="es-ES_tradnl" w:eastAsia="es-ES"/>
        </w:rPr>
        <w:t>Número de fo</w:t>
      </w:r>
      <w:r>
        <w:rPr>
          <w:rFonts w:ascii="Geomanist" w:eastAsia="Times New Roman" w:hAnsi="Geomanist" w:cs="Arial"/>
          <w:b/>
          <w:sz w:val="20"/>
          <w:szCs w:val="20"/>
          <w:lang w:val="es-ES_tradnl" w:eastAsia="es-ES"/>
        </w:rPr>
        <w:t xml:space="preserve">lio de la credencial para votar. </w:t>
      </w:r>
      <w:r w:rsidRPr="00484EEC">
        <w:rPr>
          <w:rFonts w:ascii="Geomanist" w:eastAsia="Times New Roman" w:hAnsi="Geomanist" w:cs="Arial"/>
          <w:sz w:val="20"/>
          <w:szCs w:val="20"/>
          <w:lang w:val="es-ES_tradnl" w:eastAsia="es-ES"/>
        </w:rPr>
        <w:t xml:space="preserve">Que en su Resolución RRA 1024/16, el INAI determinó que el número de credencial de elector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w:t>
      </w:r>
      <w:proofErr w:type="spellStart"/>
      <w:r w:rsidRPr="00484EEC">
        <w:rPr>
          <w:rFonts w:ascii="Geomanist" w:eastAsia="Times New Roman" w:hAnsi="Geomanist" w:cs="Arial"/>
          <w:sz w:val="20"/>
          <w:szCs w:val="20"/>
          <w:lang w:val="es-ES_tradnl" w:eastAsia="es-ES"/>
        </w:rPr>
        <w:t>geoelectoral</w:t>
      </w:r>
      <w:proofErr w:type="spellEnd"/>
      <w:r w:rsidRPr="00484EEC">
        <w:rPr>
          <w:rFonts w:ascii="Geomanist" w:eastAsia="Times New Roman" w:hAnsi="Geomanist" w:cs="Arial"/>
          <w:sz w:val="20"/>
          <w:szCs w:val="20"/>
          <w:lang w:val="es-ES_tradnl" w:eastAsia="es-ES"/>
        </w:rPr>
        <w:t xml:space="preserve"> ahí contenida, por lo que es susceptible de resguarda</w:t>
      </w:r>
      <w:r w:rsidR="003A119D">
        <w:rPr>
          <w:rFonts w:ascii="Geomanist" w:eastAsia="Times New Roman" w:hAnsi="Geomanist" w:cs="Arial"/>
          <w:sz w:val="20"/>
          <w:szCs w:val="20"/>
          <w:lang w:val="es-ES_tradnl" w:eastAsia="es-ES"/>
        </w:rPr>
        <w:t>rse en términos del artículo 115</w:t>
      </w:r>
      <w:r w:rsidRPr="00484EEC">
        <w:rPr>
          <w:rFonts w:ascii="Geomanist" w:eastAsia="Times New Roman" w:hAnsi="Geomanist" w:cs="Arial"/>
          <w:sz w:val="20"/>
          <w:szCs w:val="20"/>
          <w:lang w:val="es-ES_tradnl" w:eastAsia="es-ES"/>
        </w:rPr>
        <w:t xml:space="preserve">, de la Ley </w:t>
      </w:r>
      <w:r w:rsidR="003A119D">
        <w:rPr>
          <w:rFonts w:ascii="Geomanist" w:eastAsia="Times New Roman" w:hAnsi="Geomanist" w:cs="Arial"/>
          <w:sz w:val="20"/>
          <w:szCs w:val="20"/>
          <w:lang w:val="es-ES_tradnl" w:eastAsia="es-ES"/>
        </w:rPr>
        <w:t>Gen</w:t>
      </w:r>
      <w:r w:rsidRPr="00484EEC">
        <w:rPr>
          <w:rFonts w:ascii="Geomanist" w:eastAsia="Times New Roman" w:hAnsi="Geomanist" w:cs="Arial"/>
          <w:sz w:val="20"/>
          <w:szCs w:val="20"/>
          <w:lang w:val="es-ES_tradnl" w:eastAsia="es-ES"/>
        </w:rPr>
        <w:t>eral de Transparencia y Acceso a la Información Pública.</w:t>
      </w:r>
    </w:p>
    <w:p w:rsidR="009308D3" w:rsidRDefault="009308D3" w:rsidP="00484EEC">
      <w:pPr>
        <w:spacing w:line="276" w:lineRule="auto"/>
        <w:ind w:left="709" w:right="709"/>
        <w:jc w:val="both"/>
        <w:rPr>
          <w:rFonts w:ascii="Geomanist" w:eastAsia="Times New Roman" w:hAnsi="Geomanist" w:cs="Arial"/>
          <w:sz w:val="20"/>
          <w:szCs w:val="20"/>
          <w:lang w:val="es-ES_tradnl" w:eastAsia="es-ES"/>
        </w:rPr>
      </w:pPr>
    </w:p>
    <w:p w:rsidR="008261C4" w:rsidRDefault="008261C4" w:rsidP="00484EEC">
      <w:pPr>
        <w:spacing w:line="276" w:lineRule="auto"/>
        <w:ind w:left="709" w:right="709"/>
        <w:jc w:val="both"/>
        <w:rPr>
          <w:rFonts w:ascii="Geomanist" w:eastAsia="Times New Roman" w:hAnsi="Geomanist" w:cs="Arial"/>
          <w:sz w:val="20"/>
          <w:szCs w:val="20"/>
          <w:lang w:val="es-ES_tradnl" w:eastAsia="es-ES"/>
        </w:rPr>
      </w:pPr>
    </w:p>
    <w:p w:rsidR="00427096" w:rsidRPr="002F6B1D" w:rsidRDefault="00427096" w:rsidP="002F6B1D">
      <w:pPr>
        <w:pStyle w:val="Textoindependiente3"/>
        <w:tabs>
          <w:tab w:val="left" w:pos="284"/>
        </w:tabs>
        <w:spacing w:after="0" w:line="276" w:lineRule="auto"/>
        <w:jc w:val="both"/>
        <w:rPr>
          <w:rFonts w:ascii="Geomanist" w:hAnsi="Geomanist" w:cs="Arial"/>
          <w:sz w:val="20"/>
          <w:szCs w:val="20"/>
        </w:rPr>
      </w:pPr>
      <w:r w:rsidRPr="002F6B1D">
        <w:rPr>
          <w:rFonts w:ascii="Geomanist" w:hAnsi="Geomanist" w:cs="Arial"/>
          <w:b/>
          <w:sz w:val="20"/>
          <w:szCs w:val="20"/>
        </w:rPr>
        <w:t>SEXTO</w:t>
      </w:r>
      <w:r w:rsidRPr="002F6B1D">
        <w:rPr>
          <w:rFonts w:ascii="Geomanist" w:hAnsi="Geomanist" w:cs="Arial"/>
          <w:sz w:val="20"/>
          <w:szCs w:val="20"/>
        </w:rPr>
        <w:t xml:space="preserve">. El Artículo </w:t>
      </w:r>
      <w:r w:rsidR="001A11D9" w:rsidRPr="002F6B1D">
        <w:rPr>
          <w:rFonts w:ascii="Geomanist" w:hAnsi="Geomanist" w:cs="Arial"/>
          <w:sz w:val="20"/>
          <w:szCs w:val="20"/>
        </w:rPr>
        <w:t>103</w:t>
      </w:r>
      <w:r w:rsidRPr="002F6B1D">
        <w:rPr>
          <w:rFonts w:ascii="Geomanist" w:hAnsi="Geomanist" w:cs="Arial"/>
          <w:sz w:val="20"/>
          <w:szCs w:val="20"/>
        </w:rPr>
        <w:t xml:space="preserve"> fracción I de la Ley </w:t>
      </w:r>
      <w:r w:rsidR="001A11D9"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señala</w:t>
      </w:r>
    </w:p>
    <w:p w:rsidR="00427096" w:rsidRPr="002F6B1D" w:rsidRDefault="00427096" w:rsidP="002F6B1D">
      <w:pPr>
        <w:spacing w:line="276" w:lineRule="auto"/>
        <w:jc w:val="both"/>
        <w:rPr>
          <w:rFonts w:ascii="Geomanist" w:hAnsi="Geomanist" w:cs="Arial"/>
          <w:sz w:val="20"/>
          <w:szCs w:val="20"/>
        </w:rPr>
      </w:pPr>
    </w:p>
    <w:p w:rsidR="001A11D9" w:rsidRPr="002F6B1D" w:rsidRDefault="00427096" w:rsidP="002F6B1D">
      <w:pPr>
        <w:pBdr>
          <w:top w:val="nil"/>
          <w:left w:val="nil"/>
          <w:bottom w:val="nil"/>
          <w:right w:val="nil"/>
          <w:between w:val="nil"/>
        </w:pBdr>
        <w:spacing w:after="101"/>
        <w:ind w:firstLine="288"/>
        <w:jc w:val="both"/>
        <w:rPr>
          <w:rFonts w:ascii="Geomanist" w:eastAsia="MS Mincho" w:hAnsi="Geomanist" w:cs="Arial"/>
          <w:i/>
          <w:sz w:val="18"/>
          <w:szCs w:val="20"/>
          <w:lang w:val="es-ES_tradnl" w:eastAsia="es-ES"/>
        </w:rPr>
      </w:pPr>
      <w:r w:rsidRPr="002F6B1D">
        <w:rPr>
          <w:rFonts w:ascii="Geomanist" w:hAnsi="Geomanist" w:cs="Arial"/>
          <w:b/>
          <w:i/>
        </w:rPr>
        <w:t>“</w:t>
      </w:r>
      <w:r w:rsidR="001A11D9" w:rsidRPr="002F6B1D">
        <w:rPr>
          <w:rFonts w:ascii="Geomanist" w:eastAsia="MS Mincho" w:hAnsi="Geomanist" w:cs="Arial"/>
          <w:i/>
          <w:sz w:val="18"/>
          <w:szCs w:val="20"/>
          <w:lang w:val="es-ES_tradnl" w:eastAsia="es-ES"/>
        </w:rPr>
        <w:t>Artículo 103. La clasificación de la información se llevará a cabo en el momento en que:</w:t>
      </w:r>
    </w:p>
    <w:p w:rsidR="001A11D9" w:rsidRPr="002F6B1D" w:rsidRDefault="001A11D9" w:rsidP="002F6B1D">
      <w:pPr>
        <w:pBdr>
          <w:top w:val="nil"/>
          <w:left w:val="nil"/>
          <w:bottom w:val="nil"/>
          <w:right w:val="nil"/>
          <w:between w:val="nil"/>
        </w:pBdr>
        <w:spacing w:after="101"/>
        <w:ind w:left="1152" w:hanging="864"/>
        <w:jc w:val="both"/>
        <w:rPr>
          <w:rFonts w:ascii="Geomanist" w:eastAsia="Arial" w:hAnsi="Geomanist" w:cs="Arial"/>
          <w:color w:val="000000"/>
          <w:sz w:val="18"/>
          <w:szCs w:val="18"/>
        </w:rPr>
      </w:pPr>
      <w:r w:rsidRPr="002F6B1D">
        <w:rPr>
          <w:rFonts w:ascii="Geomanist" w:eastAsia="MS Mincho" w:hAnsi="Geomanist" w:cs="Arial"/>
          <w:i/>
          <w:sz w:val="18"/>
          <w:szCs w:val="20"/>
          <w:lang w:val="es-ES_tradnl" w:eastAsia="es-ES"/>
        </w:rPr>
        <w:t>I.</w:t>
      </w:r>
      <w:r w:rsidRPr="002F6B1D">
        <w:rPr>
          <w:rFonts w:ascii="Geomanist" w:eastAsia="MS Mincho" w:hAnsi="Geomanist" w:cs="Arial"/>
          <w:i/>
          <w:sz w:val="18"/>
          <w:szCs w:val="20"/>
          <w:lang w:val="es-ES_tradnl" w:eastAsia="es-ES"/>
        </w:rPr>
        <w:tab/>
        <w:t>Se reciba una solicitud de acceso a la información</w:t>
      </w:r>
      <w:r w:rsidRPr="002F6B1D">
        <w:rPr>
          <w:rFonts w:ascii="Geomanist" w:eastAsia="Arial" w:hAnsi="Geomanist" w:cs="Arial"/>
          <w:color w:val="000000"/>
          <w:sz w:val="18"/>
          <w:szCs w:val="18"/>
        </w:rPr>
        <w:t>;</w:t>
      </w:r>
    </w:p>
    <w:p w:rsidR="00427096" w:rsidRPr="002F6B1D" w:rsidRDefault="001A11D9" w:rsidP="002F6B1D">
      <w:pPr>
        <w:pStyle w:val="Texto"/>
        <w:spacing w:after="0" w:line="276" w:lineRule="auto"/>
        <w:rPr>
          <w:rFonts w:ascii="Geomanist" w:hAnsi="Geomanist" w:cs="Arial"/>
          <w:i/>
          <w:szCs w:val="24"/>
        </w:rPr>
      </w:pPr>
      <w:r w:rsidRPr="002F6B1D">
        <w:rPr>
          <w:rFonts w:ascii="Geomanist" w:hAnsi="Geomanist" w:cs="Arial"/>
          <w:i/>
          <w:szCs w:val="24"/>
        </w:rPr>
        <w:t xml:space="preserve"> </w:t>
      </w:r>
      <w:r w:rsidR="00427096" w:rsidRPr="002F6B1D">
        <w:rPr>
          <w:rFonts w:ascii="Geomanist" w:hAnsi="Geomanist" w:cs="Arial"/>
          <w:i/>
          <w:szCs w:val="24"/>
        </w:rPr>
        <w:t>[…] “</w:t>
      </w:r>
    </w:p>
    <w:p w:rsidR="00427096" w:rsidRDefault="00427096" w:rsidP="002F6B1D">
      <w:pPr>
        <w:autoSpaceDE w:val="0"/>
        <w:autoSpaceDN w:val="0"/>
        <w:adjustRightInd w:val="0"/>
        <w:spacing w:line="276" w:lineRule="auto"/>
        <w:ind w:right="48"/>
        <w:jc w:val="both"/>
        <w:rPr>
          <w:rFonts w:ascii="Geomanist" w:hAnsi="Geomanist" w:cs="Arial"/>
          <w:sz w:val="20"/>
          <w:szCs w:val="20"/>
        </w:rPr>
      </w:pPr>
    </w:p>
    <w:p w:rsidR="008261C4" w:rsidRPr="002F6B1D" w:rsidRDefault="008261C4" w:rsidP="002F6B1D">
      <w:pPr>
        <w:autoSpaceDE w:val="0"/>
        <w:autoSpaceDN w:val="0"/>
        <w:adjustRightInd w:val="0"/>
        <w:spacing w:line="276" w:lineRule="auto"/>
        <w:ind w:right="48"/>
        <w:jc w:val="both"/>
        <w:rPr>
          <w:rFonts w:ascii="Geomanist" w:hAnsi="Geomanist" w:cs="Arial"/>
          <w:sz w:val="20"/>
          <w:szCs w:val="20"/>
        </w:rPr>
      </w:pPr>
    </w:p>
    <w:p w:rsidR="00427096" w:rsidRPr="002F6B1D" w:rsidRDefault="00427096" w:rsidP="002F6B1D">
      <w:pPr>
        <w:autoSpaceDE w:val="0"/>
        <w:autoSpaceDN w:val="0"/>
        <w:adjustRightInd w:val="0"/>
        <w:spacing w:line="276" w:lineRule="auto"/>
        <w:jc w:val="both"/>
        <w:rPr>
          <w:rFonts w:ascii="Geomanist" w:hAnsi="Geomanist" w:cs="Arial"/>
          <w:sz w:val="20"/>
          <w:szCs w:val="20"/>
        </w:rPr>
      </w:pPr>
      <w:r w:rsidRPr="002F6B1D">
        <w:rPr>
          <w:rFonts w:ascii="Geomanist" w:hAnsi="Geomanist" w:cs="Arial"/>
          <w:b/>
          <w:sz w:val="20"/>
          <w:szCs w:val="20"/>
        </w:rPr>
        <w:t>SÉPTIMO</w:t>
      </w:r>
      <w:r w:rsidRPr="002F6B1D">
        <w:rPr>
          <w:rFonts w:ascii="Geomanist" w:hAnsi="Geomanist" w:cs="Arial"/>
          <w:sz w:val="20"/>
          <w:szCs w:val="20"/>
        </w:rPr>
        <w:t>. El artículo 11</w:t>
      </w:r>
      <w:r w:rsidR="009A76C4" w:rsidRPr="002F6B1D">
        <w:rPr>
          <w:rFonts w:ascii="Geomanist" w:hAnsi="Geomanist" w:cs="Arial"/>
          <w:sz w:val="20"/>
          <w:szCs w:val="20"/>
        </w:rPr>
        <w:t>5</w:t>
      </w:r>
      <w:r w:rsidRPr="002F6B1D">
        <w:rPr>
          <w:rFonts w:ascii="Geomanist" w:hAnsi="Geomanist" w:cs="Arial"/>
          <w:sz w:val="20"/>
          <w:szCs w:val="20"/>
        </w:rPr>
        <w:t xml:space="preserve"> de la Ley </w:t>
      </w:r>
      <w:r w:rsidR="009A76C4" w:rsidRPr="002F6B1D">
        <w:rPr>
          <w:rFonts w:ascii="Geomanist" w:hAnsi="Geomanist" w:cs="Arial"/>
          <w:sz w:val="20"/>
          <w:szCs w:val="20"/>
        </w:rPr>
        <w:t>General</w:t>
      </w:r>
      <w:r w:rsidRPr="002F6B1D">
        <w:rPr>
          <w:rFonts w:ascii="Geomanist" w:hAnsi="Geomanist" w:cs="Arial"/>
          <w:sz w:val="20"/>
          <w:szCs w:val="20"/>
        </w:rPr>
        <w:t xml:space="preserve"> de Transparencia y Acceso a la Información Pública menciona.</w:t>
      </w:r>
    </w:p>
    <w:p w:rsidR="00427096" w:rsidRPr="002F6B1D" w:rsidRDefault="00427096" w:rsidP="002F6B1D">
      <w:pPr>
        <w:autoSpaceDE w:val="0"/>
        <w:autoSpaceDN w:val="0"/>
        <w:adjustRightInd w:val="0"/>
        <w:spacing w:line="276" w:lineRule="auto"/>
        <w:jc w:val="both"/>
        <w:rPr>
          <w:rFonts w:ascii="Geomanist" w:hAnsi="Geomanist" w:cs="Arial"/>
          <w:sz w:val="20"/>
          <w:szCs w:val="20"/>
        </w:rPr>
      </w:pPr>
    </w:p>
    <w:p w:rsidR="00A96D48" w:rsidRPr="002F6B1D" w:rsidRDefault="00427096"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MS Mincho" w:hAnsi="Geomanist" w:cs="Arial"/>
          <w:lang w:val="es-ES_tradnl"/>
        </w:rPr>
        <w:t>“</w:t>
      </w:r>
      <w:r w:rsidR="00A96D48" w:rsidRPr="002F6B1D">
        <w:rPr>
          <w:rFonts w:ascii="Geomanist" w:eastAsia="Arial" w:hAnsi="Geomanist" w:cs="Arial"/>
          <w:b/>
          <w:i/>
          <w:color w:val="000000"/>
          <w:sz w:val="18"/>
          <w:szCs w:val="18"/>
        </w:rPr>
        <w:t>Artículo 115.</w:t>
      </w:r>
      <w:r w:rsidR="00A96D48" w:rsidRPr="002F6B1D">
        <w:rPr>
          <w:rFonts w:ascii="Geomanist" w:eastAsia="Arial" w:hAnsi="Geomanist" w:cs="Arial"/>
          <w:i/>
          <w:color w:val="000000"/>
          <w:sz w:val="18"/>
          <w:szCs w:val="18"/>
        </w:rPr>
        <w:t xml:space="preserve"> Se considera información confidencial la que contiene datos personales concernientes a una persona física identificada o identificable.</w:t>
      </w:r>
    </w:p>
    <w:p w:rsidR="00A96D48"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La información confidencial no estará sujeta a temporalidad alguna y sólo podrán tener acceso a ella los titulares de la misma, sus representantes y las personas servidoras públicas facultadas para ello.</w:t>
      </w:r>
    </w:p>
    <w:p w:rsidR="00BF2251"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rsidR="00A96D48" w:rsidRPr="002F6B1D" w:rsidRDefault="00A96D48" w:rsidP="002F6B1D">
      <w:pPr>
        <w:pBdr>
          <w:top w:val="nil"/>
          <w:left w:val="nil"/>
          <w:bottom w:val="nil"/>
          <w:right w:val="nil"/>
          <w:between w:val="nil"/>
        </w:pBdr>
        <w:spacing w:after="101"/>
        <w:ind w:left="284" w:right="474" w:firstLine="288"/>
        <w:jc w:val="both"/>
        <w:rPr>
          <w:rFonts w:ascii="Geomanist" w:eastAsia="Arial" w:hAnsi="Geomanist" w:cs="Arial"/>
          <w:i/>
          <w:color w:val="000000"/>
          <w:sz w:val="18"/>
          <w:szCs w:val="18"/>
        </w:rPr>
      </w:pPr>
      <w:r w:rsidRPr="002F6B1D">
        <w:rPr>
          <w:rFonts w:ascii="Geomanist" w:eastAsia="Arial" w:hAnsi="Geomanist" w:cs="Arial"/>
          <w:i/>
          <w:color w:val="000000"/>
          <w:sz w:val="18"/>
          <w:szCs w:val="18"/>
        </w:rPr>
        <w:t>Asimismo, será información confidencial aquella que presenten las personas particulares a los sujetos obligados, siempre que tengan el derecho a ello, de conformidad con lo dispuesto por las leyes o los tratados internacionales.</w:t>
      </w:r>
    </w:p>
    <w:p w:rsidR="00427096" w:rsidRPr="002F6B1D" w:rsidRDefault="00A96D48" w:rsidP="002F6B1D">
      <w:pPr>
        <w:pBdr>
          <w:top w:val="nil"/>
          <w:left w:val="nil"/>
          <w:bottom w:val="nil"/>
          <w:right w:val="nil"/>
          <w:between w:val="nil"/>
        </w:pBdr>
        <w:spacing w:after="101"/>
        <w:ind w:left="284" w:right="474" w:firstLine="288"/>
        <w:jc w:val="both"/>
        <w:rPr>
          <w:rFonts w:ascii="Geomanist" w:eastAsia="MS Mincho" w:hAnsi="Geomanist" w:cs="Arial"/>
          <w:i/>
          <w:sz w:val="18"/>
          <w:szCs w:val="20"/>
          <w:lang w:val="es-ES_tradnl" w:eastAsia="es-ES"/>
        </w:rPr>
      </w:pPr>
      <w:r w:rsidRPr="002F6B1D">
        <w:rPr>
          <w:rFonts w:ascii="Geomanist" w:eastAsia="Arial" w:hAnsi="Geomanist" w:cs="Arial"/>
          <w:i/>
          <w:color w:val="000000"/>
          <w:sz w:val="18"/>
          <w:szCs w:val="18"/>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r w:rsidRPr="002F6B1D">
        <w:rPr>
          <w:rFonts w:ascii="Geomanist" w:eastAsia="Arial" w:hAnsi="Geomanist" w:cs="Arial"/>
          <w:color w:val="000000"/>
          <w:sz w:val="18"/>
          <w:szCs w:val="18"/>
        </w:rPr>
        <w:t>.</w:t>
      </w:r>
      <w:r w:rsidR="00427096" w:rsidRPr="002F6B1D">
        <w:rPr>
          <w:rFonts w:ascii="Geomanist" w:eastAsia="MS Mincho" w:hAnsi="Geomanist" w:cs="Arial"/>
          <w:i/>
          <w:lang w:val="es-ES_tradnl"/>
        </w:rPr>
        <w:t xml:space="preserve"> </w:t>
      </w:r>
      <w:r w:rsidR="00427096" w:rsidRPr="002F6B1D">
        <w:rPr>
          <w:rFonts w:ascii="Geomanist" w:eastAsia="MS Mincho" w:hAnsi="Geomanist" w:cs="Arial"/>
          <w:i/>
          <w:sz w:val="18"/>
          <w:szCs w:val="20"/>
          <w:lang w:val="es-ES_tradnl" w:eastAsia="es-ES"/>
        </w:rPr>
        <w:t>(</w:t>
      </w:r>
      <w:r w:rsidR="00991992" w:rsidRPr="002F6B1D">
        <w:rPr>
          <w:rFonts w:ascii="Geomanist" w:eastAsia="MS Mincho" w:hAnsi="Geomanist" w:cs="Arial"/>
          <w:i/>
          <w:sz w:val="18"/>
          <w:szCs w:val="20"/>
          <w:lang w:val="es-ES_tradnl" w:eastAsia="es-ES"/>
        </w:rPr>
        <w:t>Sic</w:t>
      </w:r>
      <w:r w:rsidR="00427096" w:rsidRPr="002F6B1D">
        <w:rPr>
          <w:rFonts w:ascii="Geomanist" w:eastAsia="MS Mincho" w:hAnsi="Geomanist" w:cs="Arial"/>
          <w:i/>
          <w:sz w:val="18"/>
          <w:szCs w:val="20"/>
          <w:lang w:val="es-ES_tradnl" w:eastAsia="es-ES"/>
        </w:rPr>
        <w:t>)</w:t>
      </w:r>
    </w:p>
    <w:p w:rsidR="00427096" w:rsidRDefault="00427096" w:rsidP="002F6B1D">
      <w:pPr>
        <w:pStyle w:val="Texto"/>
        <w:spacing w:after="0" w:line="276" w:lineRule="auto"/>
        <w:ind w:right="474"/>
        <w:rPr>
          <w:rFonts w:ascii="Geomanist" w:eastAsia="MS Mincho" w:hAnsi="Geomanist" w:cs="Arial"/>
          <w:i/>
          <w:lang w:val="es-ES_tradnl"/>
        </w:rPr>
      </w:pPr>
    </w:p>
    <w:p w:rsidR="008261C4" w:rsidRPr="002F6B1D" w:rsidRDefault="008261C4" w:rsidP="002F6B1D">
      <w:pPr>
        <w:pStyle w:val="Texto"/>
        <w:spacing w:after="0" w:line="276" w:lineRule="auto"/>
        <w:ind w:right="474"/>
        <w:rPr>
          <w:rFonts w:ascii="Geomanist" w:eastAsia="MS Mincho" w:hAnsi="Geomanist" w:cs="Arial"/>
          <w:i/>
          <w:lang w:val="es-ES_tradnl"/>
        </w:rPr>
      </w:pPr>
    </w:p>
    <w:p w:rsidR="00427096" w:rsidRPr="002F6B1D" w:rsidRDefault="003A119D" w:rsidP="002F6B1D">
      <w:pPr>
        <w:autoSpaceDE w:val="0"/>
        <w:autoSpaceDN w:val="0"/>
        <w:adjustRightInd w:val="0"/>
        <w:spacing w:line="276" w:lineRule="auto"/>
        <w:ind w:right="-93"/>
        <w:jc w:val="both"/>
        <w:rPr>
          <w:rFonts w:ascii="Geomanist" w:hAnsi="Geomanist" w:cs="Arial"/>
          <w:sz w:val="20"/>
          <w:szCs w:val="20"/>
        </w:rPr>
      </w:pPr>
      <w:r>
        <w:rPr>
          <w:rFonts w:ascii="Geomanist" w:hAnsi="Geomanist" w:cs="Arial"/>
          <w:b/>
          <w:sz w:val="20"/>
          <w:szCs w:val="20"/>
        </w:rPr>
        <w:t>OCTAVO</w:t>
      </w:r>
      <w:r w:rsidR="004A6FE7" w:rsidRPr="002F6B1D">
        <w:rPr>
          <w:rFonts w:ascii="Geomanist" w:hAnsi="Geomanist" w:cs="Arial"/>
          <w:sz w:val="20"/>
          <w:szCs w:val="20"/>
        </w:rPr>
        <w:t>. Los</w:t>
      </w:r>
      <w:r w:rsidR="00970E4F" w:rsidRPr="002F6B1D">
        <w:rPr>
          <w:rFonts w:ascii="Geomanist" w:hAnsi="Geomanist" w:cs="Arial"/>
          <w:sz w:val="20"/>
          <w:szCs w:val="20"/>
        </w:rPr>
        <w:t xml:space="preserve"> artículo</w:t>
      </w:r>
      <w:r w:rsidR="004A6FE7" w:rsidRPr="002F6B1D">
        <w:rPr>
          <w:rFonts w:ascii="Geomanist" w:hAnsi="Geomanist" w:cs="Arial"/>
          <w:sz w:val="20"/>
          <w:szCs w:val="20"/>
        </w:rPr>
        <w:t>s</w:t>
      </w:r>
      <w:r w:rsidR="00970E4F" w:rsidRPr="002F6B1D">
        <w:rPr>
          <w:rFonts w:ascii="Geomanist" w:hAnsi="Geomanist" w:cs="Arial"/>
          <w:sz w:val="20"/>
          <w:szCs w:val="20"/>
        </w:rPr>
        <w:t xml:space="preserve"> 1</w:t>
      </w:r>
      <w:r w:rsidR="004A6FE7" w:rsidRPr="002F6B1D">
        <w:rPr>
          <w:rFonts w:ascii="Geomanist" w:hAnsi="Geomanist" w:cs="Arial"/>
          <w:sz w:val="20"/>
          <w:szCs w:val="20"/>
        </w:rPr>
        <w:t>20 y 121</w:t>
      </w:r>
      <w:r w:rsidR="00427096" w:rsidRPr="002F6B1D">
        <w:rPr>
          <w:rFonts w:ascii="Geomanist" w:hAnsi="Geomanist" w:cs="Arial"/>
          <w:sz w:val="20"/>
          <w:szCs w:val="20"/>
        </w:rPr>
        <w:t xml:space="preserve"> de la Ley </w:t>
      </w:r>
      <w:r w:rsidR="00970E4F" w:rsidRPr="002F6B1D">
        <w:rPr>
          <w:rFonts w:ascii="Geomanist" w:hAnsi="Geomanist" w:cs="Arial"/>
          <w:sz w:val="20"/>
          <w:szCs w:val="20"/>
        </w:rPr>
        <w:t>General</w:t>
      </w:r>
      <w:r w:rsidR="00427096" w:rsidRPr="002F6B1D">
        <w:rPr>
          <w:rFonts w:ascii="Geomanist" w:hAnsi="Geomanist" w:cs="Arial"/>
          <w:sz w:val="20"/>
          <w:szCs w:val="20"/>
        </w:rPr>
        <w:t xml:space="preserve"> de Transparencia y Acceso a la información, señala.</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A6FE7" w:rsidRPr="002F6B1D" w:rsidRDefault="00427096" w:rsidP="002F6B1D">
      <w:pPr>
        <w:pBdr>
          <w:top w:val="nil"/>
          <w:left w:val="nil"/>
          <w:bottom w:val="nil"/>
          <w:right w:val="nil"/>
          <w:between w:val="nil"/>
        </w:pBdr>
        <w:spacing w:after="101"/>
        <w:ind w:left="567" w:right="616"/>
        <w:jc w:val="both"/>
        <w:rPr>
          <w:rFonts w:ascii="Geomanist" w:eastAsia="Arial" w:hAnsi="Geomanist" w:cs="Arial"/>
          <w:i/>
          <w:color w:val="000000"/>
          <w:sz w:val="18"/>
          <w:szCs w:val="18"/>
        </w:rPr>
      </w:pPr>
      <w:r w:rsidRPr="002F6B1D">
        <w:rPr>
          <w:rFonts w:ascii="Geomanist" w:eastAsia="MS Mincho" w:hAnsi="Geomanist" w:cs="Arial"/>
          <w:b/>
          <w:i/>
          <w:lang w:val="es-ES_tradnl"/>
        </w:rPr>
        <w:t>“</w:t>
      </w:r>
      <w:r w:rsidR="004A6FE7" w:rsidRPr="002F6B1D">
        <w:rPr>
          <w:rFonts w:ascii="Geomanist" w:eastAsia="Arial" w:hAnsi="Geomanist" w:cs="Arial"/>
          <w:b/>
          <w:i/>
          <w:color w:val="000000"/>
          <w:sz w:val="18"/>
          <w:szCs w:val="18"/>
        </w:rPr>
        <w:t>Artículo 120.</w:t>
      </w:r>
      <w:r w:rsidR="004A6FE7" w:rsidRPr="002F6B1D">
        <w:rPr>
          <w:rFonts w:ascii="Geomanist" w:eastAsia="Arial" w:hAnsi="Geomanist" w:cs="Arial"/>
          <w:i/>
          <w:color w:val="000000"/>
          <w:sz w:val="18"/>
          <w:szCs w:val="18"/>
        </w:rPr>
        <w:t xml:space="preserve"> Cuando un documento o expediente contenga partes o secciones reservadas o confidenciales, los sujetos obligados a través de sus áreas, para efectos de atender una solicitud de información, deberán elaborar una versión pública en la que se testen las partes o secciones clasificadas, indicando su contenido de manera genérica, fundando y motivando su clasificación, en términos de lo que determine el Sistema Nacional.</w:t>
      </w:r>
    </w:p>
    <w:p w:rsidR="00427096" w:rsidRPr="002F6B1D" w:rsidRDefault="004A6FE7" w:rsidP="002F6B1D">
      <w:pPr>
        <w:pBdr>
          <w:top w:val="nil"/>
          <w:left w:val="nil"/>
          <w:bottom w:val="nil"/>
          <w:right w:val="nil"/>
          <w:between w:val="nil"/>
        </w:pBdr>
        <w:spacing w:after="101"/>
        <w:ind w:left="567" w:right="616"/>
        <w:jc w:val="both"/>
        <w:rPr>
          <w:rFonts w:ascii="Geomanist" w:eastAsia="Arial" w:hAnsi="Geomanist" w:cs="Arial"/>
          <w:i/>
          <w:color w:val="000000"/>
          <w:sz w:val="18"/>
          <w:szCs w:val="18"/>
        </w:rPr>
      </w:pPr>
      <w:r w:rsidRPr="002F6B1D">
        <w:rPr>
          <w:rFonts w:ascii="Geomanist" w:eastAsia="Arial" w:hAnsi="Geomanist" w:cs="Arial"/>
          <w:b/>
          <w:i/>
          <w:color w:val="000000"/>
          <w:sz w:val="18"/>
          <w:szCs w:val="18"/>
        </w:rPr>
        <w:t>Artículo 121.</w:t>
      </w:r>
      <w:r w:rsidRPr="002F6B1D">
        <w:rPr>
          <w:rFonts w:ascii="Geomanist" w:eastAsia="Arial" w:hAnsi="Geomanist" w:cs="Arial"/>
          <w:i/>
          <w:color w:val="000000"/>
          <w:sz w:val="18"/>
          <w:szCs w:val="18"/>
        </w:rPr>
        <w:t xml:space="preserve"> Los sujetos obligados deberán procurar que los sistemas o medios empleados para eliminar la información en las versiones públicas no permitan la recuperación o visualización de la misma.</w:t>
      </w:r>
      <w:r w:rsidR="00427096" w:rsidRPr="002F6B1D">
        <w:rPr>
          <w:rFonts w:ascii="Geomanist" w:eastAsia="Arial" w:hAnsi="Geomanist" w:cs="Arial"/>
          <w:i/>
          <w:color w:val="000000"/>
          <w:sz w:val="18"/>
          <w:szCs w:val="18"/>
        </w:rPr>
        <w:t xml:space="preserve"> […]” (sic)</w:t>
      </w:r>
    </w:p>
    <w:p w:rsidR="00427096" w:rsidRDefault="00427096" w:rsidP="002F6B1D">
      <w:pPr>
        <w:autoSpaceDE w:val="0"/>
        <w:autoSpaceDN w:val="0"/>
        <w:adjustRightInd w:val="0"/>
        <w:spacing w:line="276" w:lineRule="auto"/>
        <w:ind w:right="-93"/>
        <w:jc w:val="both"/>
        <w:rPr>
          <w:rFonts w:ascii="Geomanist" w:hAnsi="Geomanist" w:cs="Arial"/>
          <w:b/>
          <w:sz w:val="20"/>
          <w:szCs w:val="20"/>
        </w:rPr>
      </w:pPr>
    </w:p>
    <w:p w:rsidR="006B77A1" w:rsidRPr="002F6B1D" w:rsidRDefault="006B77A1" w:rsidP="002F6B1D">
      <w:pPr>
        <w:autoSpaceDE w:val="0"/>
        <w:autoSpaceDN w:val="0"/>
        <w:adjustRightInd w:val="0"/>
        <w:spacing w:line="276" w:lineRule="auto"/>
        <w:ind w:right="-93"/>
        <w:jc w:val="both"/>
        <w:rPr>
          <w:rFonts w:ascii="Geomanist" w:hAnsi="Geomanist" w:cs="Arial"/>
          <w:b/>
          <w:sz w:val="20"/>
          <w:szCs w:val="20"/>
        </w:rPr>
      </w:pPr>
    </w:p>
    <w:p w:rsidR="00427096" w:rsidRPr="002F6B1D" w:rsidRDefault="003A119D" w:rsidP="002F6B1D">
      <w:pPr>
        <w:autoSpaceDE w:val="0"/>
        <w:autoSpaceDN w:val="0"/>
        <w:adjustRightInd w:val="0"/>
        <w:spacing w:line="276" w:lineRule="auto"/>
        <w:ind w:right="-93"/>
        <w:jc w:val="both"/>
        <w:rPr>
          <w:rFonts w:ascii="Geomanist" w:hAnsi="Geomanist" w:cs="Arial"/>
          <w:sz w:val="20"/>
          <w:szCs w:val="20"/>
        </w:rPr>
      </w:pPr>
      <w:r>
        <w:rPr>
          <w:rFonts w:ascii="Geomanist" w:hAnsi="Geomanist" w:cs="Arial"/>
          <w:b/>
          <w:sz w:val="20"/>
          <w:szCs w:val="20"/>
        </w:rPr>
        <w:t>NOVENO</w:t>
      </w:r>
      <w:r w:rsidR="00427096" w:rsidRPr="002F6B1D">
        <w:rPr>
          <w:rFonts w:ascii="Geomanist" w:hAnsi="Geomanist" w:cs="Arial"/>
          <w:b/>
          <w:sz w:val="20"/>
          <w:szCs w:val="20"/>
        </w:rPr>
        <w:t>.</w:t>
      </w:r>
      <w:r w:rsidR="00427096" w:rsidRPr="002F6B1D">
        <w:rPr>
          <w:rFonts w:ascii="Geomanist" w:hAnsi="Geomanist" w:cs="Arial"/>
          <w:sz w:val="20"/>
          <w:szCs w:val="20"/>
        </w:rPr>
        <w:t xml:space="preserve"> Los Lineamientos generales en materia de clasificación y desclasificación de la información, así como para la elaboración de versiones públicas, indican.</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 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 (Sic)</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20"/>
          <w:szCs w:val="20"/>
        </w:rPr>
      </w:pPr>
      <w:r w:rsidRPr="002F6B1D">
        <w:rPr>
          <w:rFonts w:ascii="Geomanist" w:hAnsi="Geomanist" w:cs="Arial"/>
          <w:i/>
          <w:sz w:val="20"/>
          <w:szCs w:val="20"/>
        </w:rPr>
        <w:t>“[…] DOCUMENTOS IMPRESOS</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20"/>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lastRenderedPageBreak/>
        <w:t>Quincuagésimo noveno. En caso de que el documento únicamente se posea en versión impresa, deberá fotocopiarse y sobre éste deberán testarse las palabras, párrafos o renglones que sean clasificados, debiendo anotar al lado del texto omitido, una referencia numérica tal y como se puede observar en el modelo para testar documentos impresos contenido en el Anexo 1 de los Lineamientos, “Modelo para testar documentos impresos”.</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En caso de que sea posible la digitalización del documento, se deberá observar lo establecido en el lineamiento Sexagésimo.</w:t>
      </w: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p>
    <w:p w:rsidR="00427096" w:rsidRPr="002F6B1D" w:rsidRDefault="00427096" w:rsidP="002F6B1D">
      <w:pPr>
        <w:autoSpaceDE w:val="0"/>
        <w:autoSpaceDN w:val="0"/>
        <w:adjustRightInd w:val="0"/>
        <w:spacing w:line="276" w:lineRule="auto"/>
        <w:ind w:left="567" w:right="474"/>
        <w:jc w:val="both"/>
        <w:rPr>
          <w:rFonts w:ascii="Geomanist" w:hAnsi="Geomanist" w:cs="Arial"/>
          <w:i/>
          <w:sz w:val="18"/>
          <w:szCs w:val="20"/>
        </w:rPr>
      </w:pPr>
      <w:r w:rsidRPr="002F6B1D">
        <w:rPr>
          <w:rFonts w:ascii="Geomanist" w:hAnsi="Geomanist" w:cs="Arial"/>
          <w:i/>
          <w:sz w:val="18"/>
          <w:szCs w:val="20"/>
        </w:rPr>
        <w:t>La información deberá protegerse con los medios idóneos con que se cuente, de tal forma que no permita la revelación de la información clasificada.” (Sic)</w:t>
      </w: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p>
    <w:p w:rsidR="00427096" w:rsidRPr="002F6B1D" w:rsidRDefault="00427096" w:rsidP="002F6B1D">
      <w:pPr>
        <w:autoSpaceDE w:val="0"/>
        <w:autoSpaceDN w:val="0"/>
        <w:adjustRightInd w:val="0"/>
        <w:spacing w:line="276" w:lineRule="auto"/>
        <w:ind w:right="-93"/>
        <w:jc w:val="both"/>
        <w:rPr>
          <w:rFonts w:ascii="Geomanist" w:hAnsi="Geomanist" w:cs="Arial"/>
          <w:sz w:val="20"/>
          <w:szCs w:val="20"/>
        </w:rPr>
      </w:pPr>
      <w:r w:rsidRPr="002F6B1D">
        <w:rPr>
          <w:rFonts w:ascii="Geomanist" w:hAnsi="Geomanist" w:cs="Arial"/>
          <w:sz w:val="20"/>
          <w:szCs w:val="20"/>
        </w:rPr>
        <w:t>Por lo antes expuesto, el Comité de Transparencia de este Instituto, procede a emitir los siguientes resolutivos.</w:t>
      </w:r>
    </w:p>
    <w:p w:rsidR="00BF2251" w:rsidRDefault="00BF2251" w:rsidP="002F6B1D">
      <w:pPr>
        <w:spacing w:line="276" w:lineRule="auto"/>
        <w:jc w:val="both"/>
        <w:rPr>
          <w:rFonts w:ascii="Geomanist" w:hAnsi="Geomanist" w:cs="Arial"/>
          <w:sz w:val="20"/>
          <w:szCs w:val="20"/>
        </w:rPr>
      </w:pPr>
    </w:p>
    <w:p w:rsidR="008261C4" w:rsidRPr="002F6B1D" w:rsidRDefault="008261C4" w:rsidP="002F6B1D">
      <w:pPr>
        <w:spacing w:line="276" w:lineRule="auto"/>
        <w:jc w:val="both"/>
        <w:rPr>
          <w:rFonts w:ascii="Geomanist" w:hAnsi="Geomanist" w:cs="Arial"/>
          <w:sz w:val="20"/>
          <w:szCs w:val="20"/>
        </w:rPr>
      </w:pPr>
    </w:p>
    <w:p w:rsidR="00427096" w:rsidRPr="002F6B1D" w:rsidRDefault="00427096" w:rsidP="002F6B1D">
      <w:pPr>
        <w:spacing w:line="276" w:lineRule="auto"/>
        <w:jc w:val="both"/>
        <w:rPr>
          <w:rFonts w:ascii="Geomanist" w:hAnsi="Geomanist" w:cs="Arial"/>
          <w:b/>
          <w:sz w:val="20"/>
          <w:szCs w:val="20"/>
        </w:rPr>
      </w:pPr>
      <w:r w:rsidRPr="002F6B1D">
        <w:rPr>
          <w:rFonts w:ascii="Geomanist" w:hAnsi="Geomanist" w:cs="Arial"/>
          <w:b/>
          <w:sz w:val="20"/>
          <w:szCs w:val="20"/>
        </w:rPr>
        <w:t>-----------------------------------</w:t>
      </w:r>
      <w:r w:rsidR="00533D4D" w:rsidRPr="002F6B1D">
        <w:rPr>
          <w:rFonts w:ascii="Geomanist" w:hAnsi="Geomanist" w:cs="Arial"/>
          <w:b/>
          <w:sz w:val="20"/>
          <w:szCs w:val="20"/>
        </w:rPr>
        <w:t>--</w:t>
      </w:r>
      <w:r w:rsidRPr="002F6B1D">
        <w:rPr>
          <w:rFonts w:ascii="Geomanist" w:hAnsi="Geomanist" w:cs="Arial"/>
          <w:b/>
          <w:sz w:val="20"/>
          <w:szCs w:val="20"/>
        </w:rPr>
        <w:t>---------------</w:t>
      </w:r>
      <w:r w:rsidRPr="002F6B1D">
        <w:rPr>
          <w:rFonts w:ascii="Geomanist" w:hAnsi="Geomanist" w:cs="Arial"/>
          <w:b/>
          <w:sz w:val="22"/>
          <w:szCs w:val="20"/>
        </w:rPr>
        <w:t>R E S U E L V E</w:t>
      </w:r>
      <w:r w:rsidRPr="002F6B1D">
        <w:rPr>
          <w:rFonts w:ascii="Geomanist" w:hAnsi="Geomanist" w:cs="Arial"/>
          <w:b/>
          <w:sz w:val="20"/>
          <w:szCs w:val="20"/>
        </w:rPr>
        <w:t>--------------------------------------------------</w:t>
      </w:r>
    </w:p>
    <w:p w:rsidR="00BF2251" w:rsidRDefault="00BF2251" w:rsidP="002F6B1D">
      <w:pPr>
        <w:spacing w:line="276" w:lineRule="auto"/>
        <w:jc w:val="both"/>
        <w:rPr>
          <w:rFonts w:ascii="Geomanist" w:hAnsi="Geomanist" w:cs="Arial"/>
          <w:sz w:val="20"/>
          <w:szCs w:val="20"/>
        </w:rPr>
      </w:pPr>
    </w:p>
    <w:p w:rsidR="008261C4" w:rsidRPr="002F6B1D" w:rsidRDefault="008261C4" w:rsidP="002F6B1D">
      <w:pPr>
        <w:spacing w:line="276" w:lineRule="auto"/>
        <w:jc w:val="both"/>
        <w:rPr>
          <w:rFonts w:ascii="Geomanist" w:hAnsi="Geomanist" w:cs="Arial"/>
          <w:sz w:val="20"/>
          <w:szCs w:val="20"/>
        </w:rPr>
      </w:pPr>
    </w:p>
    <w:p w:rsidR="00427096" w:rsidRPr="002F6B1D" w:rsidRDefault="00427096" w:rsidP="002F6B1D">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2F6B1D">
        <w:rPr>
          <w:rFonts w:ascii="Geomanist" w:eastAsia="Times New Roman" w:hAnsi="Geomanist" w:cs="Arial"/>
          <w:b/>
          <w:sz w:val="20"/>
          <w:szCs w:val="20"/>
          <w:lang w:eastAsia="es-ES"/>
        </w:rPr>
        <w:t>PRIMERO</w:t>
      </w:r>
      <w:r w:rsidRPr="002F6B1D">
        <w:rPr>
          <w:rFonts w:ascii="Geomanist" w:eastAsia="Times New Roman" w:hAnsi="Geomanist" w:cs="Arial"/>
          <w:sz w:val="20"/>
          <w:szCs w:val="20"/>
          <w:lang w:eastAsia="es-ES"/>
        </w:rPr>
        <w:t>. De</w:t>
      </w:r>
      <w:r w:rsidR="003A119D">
        <w:rPr>
          <w:rFonts w:ascii="Geomanist" w:eastAsia="Times New Roman" w:hAnsi="Geomanist" w:cs="Arial"/>
          <w:sz w:val="20"/>
          <w:szCs w:val="20"/>
          <w:lang w:eastAsia="es-ES"/>
        </w:rPr>
        <w:t xml:space="preserve"> conformidad con </w:t>
      </w:r>
      <w:r w:rsidR="00945F66">
        <w:rPr>
          <w:rFonts w:ascii="Geomanist" w:eastAsia="Times New Roman" w:hAnsi="Geomanist" w:cs="Arial"/>
          <w:sz w:val="20"/>
          <w:szCs w:val="20"/>
          <w:lang w:eastAsia="es-ES"/>
        </w:rPr>
        <w:t xml:space="preserve">los </w:t>
      </w:r>
      <w:r w:rsidR="003A119D">
        <w:rPr>
          <w:rFonts w:ascii="Geomanist" w:eastAsia="Times New Roman" w:hAnsi="Geomanist" w:cs="Arial"/>
          <w:sz w:val="20"/>
          <w:szCs w:val="20"/>
          <w:lang w:eastAsia="es-ES"/>
        </w:rPr>
        <w:t>artículo</w:t>
      </w:r>
      <w:r w:rsidR="00945F66">
        <w:rPr>
          <w:rFonts w:ascii="Geomanist" w:eastAsia="Times New Roman" w:hAnsi="Geomanist" w:cs="Arial"/>
          <w:sz w:val="20"/>
          <w:szCs w:val="20"/>
          <w:lang w:eastAsia="es-ES"/>
        </w:rPr>
        <w:t xml:space="preserve">s 40 fracción II y </w:t>
      </w:r>
      <w:r w:rsidR="003A119D">
        <w:rPr>
          <w:rFonts w:ascii="Geomanist" w:eastAsia="Times New Roman" w:hAnsi="Geomanist" w:cs="Arial"/>
          <w:sz w:val="20"/>
          <w:szCs w:val="20"/>
          <w:lang w:eastAsia="es-ES"/>
        </w:rPr>
        <w:t xml:space="preserve">139 </w:t>
      </w:r>
      <w:r w:rsidR="00945F66">
        <w:rPr>
          <w:rFonts w:ascii="Geomanist" w:eastAsia="Times New Roman" w:hAnsi="Geomanist" w:cs="Arial"/>
          <w:sz w:val="20"/>
          <w:szCs w:val="20"/>
          <w:lang w:eastAsia="es-ES"/>
        </w:rPr>
        <w:t>fracción I</w:t>
      </w:r>
      <w:r w:rsidR="003A119D">
        <w:rPr>
          <w:rFonts w:ascii="Geomanist" w:eastAsia="Times New Roman" w:hAnsi="Geomanist" w:cs="Arial"/>
          <w:sz w:val="20"/>
          <w:szCs w:val="20"/>
          <w:lang w:eastAsia="es-ES"/>
        </w:rPr>
        <w:t xml:space="preserve"> </w:t>
      </w:r>
      <w:r w:rsidR="004D5B56">
        <w:rPr>
          <w:rFonts w:ascii="Geomanist" w:eastAsia="Times New Roman" w:hAnsi="Geomanist" w:cs="Arial"/>
          <w:sz w:val="20"/>
          <w:szCs w:val="20"/>
          <w:lang w:eastAsia="es-ES"/>
        </w:rPr>
        <w:t xml:space="preserve"> de la Ley General</w:t>
      </w:r>
      <w:r w:rsidRPr="002F6B1D">
        <w:rPr>
          <w:rFonts w:ascii="Geomanist" w:eastAsia="Times New Roman" w:hAnsi="Geomanist" w:cs="Arial"/>
          <w:sz w:val="20"/>
          <w:szCs w:val="20"/>
          <w:lang w:eastAsia="es-ES"/>
        </w:rPr>
        <w:t xml:space="preserve"> de Transparencia y Acceso a la Información Pública, se </w:t>
      </w:r>
      <w:r w:rsidRPr="002F6B1D">
        <w:rPr>
          <w:rFonts w:ascii="Geomanist" w:eastAsia="Times New Roman" w:hAnsi="Geomanist" w:cs="Arial"/>
          <w:b/>
          <w:sz w:val="20"/>
          <w:szCs w:val="20"/>
          <w:lang w:eastAsia="es-ES"/>
        </w:rPr>
        <w:t>CONFIRMA</w:t>
      </w:r>
      <w:r w:rsidRPr="002F6B1D">
        <w:rPr>
          <w:rFonts w:ascii="Geomanist" w:eastAsia="Times New Roman" w:hAnsi="Geomanist" w:cs="Arial"/>
          <w:sz w:val="20"/>
          <w:szCs w:val="20"/>
          <w:lang w:eastAsia="es-ES"/>
        </w:rPr>
        <w:t xml:space="preserve"> la clasificación </w:t>
      </w:r>
      <w:r w:rsidR="000C101F" w:rsidRPr="002F6B1D">
        <w:rPr>
          <w:rFonts w:ascii="Geomanist" w:eastAsia="Times New Roman" w:hAnsi="Geomanist" w:cs="Arial"/>
          <w:sz w:val="20"/>
          <w:szCs w:val="20"/>
          <w:lang w:eastAsia="es-ES"/>
        </w:rPr>
        <w:t>de</w:t>
      </w:r>
      <w:r w:rsidR="009308D3">
        <w:rPr>
          <w:rFonts w:ascii="Geomanist" w:eastAsia="Times New Roman" w:hAnsi="Geomanist" w:cs="Arial"/>
          <w:sz w:val="20"/>
          <w:szCs w:val="20"/>
          <w:lang w:eastAsia="es-ES"/>
        </w:rPr>
        <w:t xml:space="preserve"> la</w:t>
      </w:r>
      <w:r w:rsidR="00991992" w:rsidRPr="002F6B1D">
        <w:rPr>
          <w:rFonts w:ascii="Geomanist" w:eastAsia="Times New Roman" w:hAnsi="Geomanist" w:cs="Arial"/>
          <w:sz w:val="20"/>
          <w:szCs w:val="20"/>
          <w:lang w:eastAsia="es-ES"/>
        </w:rPr>
        <w:t xml:space="preserve"> </w:t>
      </w:r>
      <w:r w:rsidR="009308D3" w:rsidRPr="00A26C3D">
        <w:rPr>
          <w:rFonts w:ascii="Geomanist" w:hAnsi="Geomanist" w:cs="Arial"/>
          <w:b/>
          <w:sz w:val="20"/>
          <w:szCs w:val="20"/>
        </w:rPr>
        <w:t>Cadena original</w:t>
      </w:r>
      <w:r w:rsidR="009308D3">
        <w:rPr>
          <w:rFonts w:ascii="Geomanist" w:hAnsi="Geomanist" w:cs="Arial"/>
          <w:b/>
          <w:sz w:val="20"/>
          <w:szCs w:val="20"/>
        </w:rPr>
        <w:t xml:space="preserve"> </w:t>
      </w:r>
      <w:r w:rsidR="009308D3" w:rsidRPr="00A26C3D">
        <w:rPr>
          <w:rFonts w:ascii="Geomanist" w:hAnsi="Geomanist" w:cs="Arial"/>
          <w:b/>
          <w:sz w:val="20"/>
          <w:szCs w:val="20"/>
        </w:rPr>
        <w:t>del</w:t>
      </w:r>
      <w:r w:rsidR="009308D3">
        <w:rPr>
          <w:rFonts w:ascii="Geomanist" w:hAnsi="Geomanist" w:cs="Arial"/>
          <w:b/>
          <w:sz w:val="20"/>
          <w:szCs w:val="20"/>
        </w:rPr>
        <w:t xml:space="preserve"> </w:t>
      </w:r>
      <w:r w:rsidR="009308D3" w:rsidRPr="00A26C3D">
        <w:rPr>
          <w:rFonts w:ascii="Geomanist" w:hAnsi="Geomanist" w:cs="Arial"/>
          <w:b/>
          <w:sz w:val="20"/>
          <w:szCs w:val="20"/>
        </w:rPr>
        <w:t>complemento</w:t>
      </w:r>
      <w:r w:rsidR="009308D3">
        <w:rPr>
          <w:rFonts w:ascii="Geomanist" w:hAnsi="Geomanist" w:cs="Arial"/>
          <w:b/>
          <w:sz w:val="20"/>
          <w:szCs w:val="20"/>
        </w:rPr>
        <w:t xml:space="preserve"> </w:t>
      </w:r>
      <w:r w:rsidR="009308D3" w:rsidRPr="00A26C3D">
        <w:rPr>
          <w:rFonts w:ascii="Geomanist" w:hAnsi="Geomanist" w:cs="Arial"/>
          <w:b/>
          <w:sz w:val="20"/>
          <w:szCs w:val="20"/>
        </w:rPr>
        <w:t>de certificación</w:t>
      </w:r>
      <w:r w:rsidR="009308D3">
        <w:rPr>
          <w:rFonts w:ascii="Geomanist" w:hAnsi="Geomanist" w:cs="Arial"/>
          <w:b/>
          <w:sz w:val="20"/>
          <w:szCs w:val="20"/>
        </w:rPr>
        <w:t xml:space="preserve"> </w:t>
      </w:r>
      <w:r w:rsidR="009308D3" w:rsidRPr="00A26C3D">
        <w:rPr>
          <w:rFonts w:ascii="Geomanist" w:hAnsi="Geomanist" w:cs="Arial"/>
          <w:b/>
          <w:sz w:val="20"/>
          <w:szCs w:val="20"/>
        </w:rPr>
        <w:t>digital del SAT</w:t>
      </w:r>
      <w:r w:rsidR="009308D3">
        <w:rPr>
          <w:rFonts w:ascii="Geomanist" w:hAnsi="Geomanist" w:cs="Arial"/>
          <w:b/>
          <w:sz w:val="20"/>
          <w:szCs w:val="20"/>
        </w:rPr>
        <w:t xml:space="preserve">, </w:t>
      </w:r>
      <w:r w:rsidR="009308D3" w:rsidRPr="00A26C3D">
        <w:rPr>
          <w:rFonts w:ascii="Geomanist" w:hAnsi="Geomanist" w:cs="Arial"/>
          <w:b/>
          <w:sz w:val="20"/>
          <w:szCs w:val="20"/>
        </w:rPr>
        <w:t>Folio fiscal</w:t>
      </w:r>
      <w:r w:rsidR="009308D3">
        <w:rPr>
          <w:rFonts w:ascii="Geomanist" w:hAnsi="Geomanist" w:cs="Arial"/>
          <w:b/>
          <w:sz w:val="20"/>
          <w:szCs w:val="20"/>
        </w:rPr>
        <w:t xml:space="preserve">, </w:t>
      </w:r>
      <w:r w:rsidR="009308D3" w:rsidRPr="00A26C3D">
        <w:rPr>
          <w:rFonts w:ascii="Geomanist" w:eastAsia="Times New Roman" w:hAnsi="Geomanist" w:cs="Arial"/>
          <w:b/>
          <w:sz w:val="20"/>
          <w:szCs w:val="20"/>
          <w:lang w:val="es-ES_tradnl" w:eastAsia="es-ES"/>
        </w:rPr>
        <w:t xml:space="preserve">Número de serie del CSD Certificado de Sello Digital (CSD) </w:t>
      </w:r>
      <w:r w:rsidR="009308D3">
        <w:rPr>
          <w:rFonts w:ascii="Geomanist" w:eastAsia="Times New Roman" w:hAnsi="Geomanist" w:cs="Arial"/>
          <w:b/>
          <w:sz w:val="20"/>
          <w:szCs w:val="20"/>
          <w:lang w:val="es-ES_tradnl" w:eastAsia="es-ES"/>
        </w:rPr>
        <w:t>–</w:t>
      </w:r>
      <w:r w:rsidR="009308D3" w:rsidRPr="00A26C3D">
        <w:rPr>
          <w:rFonts w:ascii="Geomanist" w:eastAsia="Times New Roman" w:hAnsi="Geomanist" w:cs="Arial"/>
          <w:b/>
          <w:sz w:val="20"/>
          <w:szCs w:val="20"/>
          <w:lang w:val="es-ES_tradnl" w:eastAsia="es-ES"/>
        </w:rPr>
        <w:t xml:space="preserve"> SAT</w:t>
      </w:r>
      <w:r w:rsidR="009308D3">
        <w:rPr>
          <w:rFonts w:ascii="Geomanist" w:eastAsia="Times New Roman" w:hAnsi="Geomanist" w:cs="Arial"/>
          <w:b/>
          <w:sz w:val="20"/>
          <w:szCs w:val="20"/>
          <w:lang w:val="es-ES_tradnl" w:eastAsia="es-ES"/>
        </w:rPr>
        <w:t xml:space="preserve">, </w:t>
      </w:r>
      <w:r w:rsidR="009308D3" w:rsidRPr="00484EEC">
        <w:rPr>
          <w:rFonts w:ascii="Geomanist" w:eastAsia="Times New Roman" w:hAnsi="Geomanist" w:cs="Arial"/>
          <w:b/>
          <w:sz w:val="20"/>
          <w:szCs w:val="20"/>
          <w:lang w:val="es-ES_tradnl" w:eastAsia="es-ES"/>
        </w:rPr>
        <w:t>Sello del Comprobante Fiscal Digital por Internet (CFDI)</w:t>
      </w:r>
      <w:r w:rsidR="009308D3">
        <w:rPr>
          <w:rFonts w:ascii="Geomanist" w:eastAsia="Times New Roman" w:hAnsi="Geomanist" w:cs="Arial"/>
          <w:b/>
          <w:sz w:val="20"/>
          <w:szCs w:val="20"/>
          <w:lang w:val="es-ES_tradnl" w:eastAsia="es-ES"/>
        </w:rPr>
        <w:t xml:space="preserve">, </w:t>
      </w:r>
      <w:r w:rsidR="009308D3" w:rsidRPr="00484EEC">
        <w:rPr>
          <w:rFonts w:ascii="Geomanist" w:eastAsia="Times New Roman" w:hAnsi="Geomanist" w:cs="Arial"/>
          <w:b/>
          <w:sz w:val="20"/>
          <w:szCs w:val="20"/>
          <w:lang w:val="es-ES_tradnl" w:eastAsia="es-ES"/>
        </w:rPr>
        <w:t>Serie del certificado del emisor del Servicio de Administración Tributaria</w:t>
      </w:r>
      <w:r w:rsidR="009308D3">
        <w:rPr>
          <w:rFonts w:ascii="Geomanist" w:eastAsia="Times New Roman" w:hAnsi="Geomanist" w:cs="Arial"/>
          <w:b/>
          <w:sz w:val="20"/>
          <w:szCs w:val="20"/>
          <w:lang w:val="es-ES_tradnl" w:eastAsia="es-ES"/>
        </w:rPr>
        <w:t xml:space="preserve">, </w:t>
      </w:r>
      <w:r w:rsidR="009308D3" w:rsidRPr="00484EEC">
        <w:rPr>
          <w:rFonts w:ascii="Geomanist" w:eastAsia="Times New Roman" w:hAnsi="Geomanist" w:cs="Arial"/>
          <w:b/>
          <w:sz w:val="20"/>
          <w:szCs w:val="20"/>
          <w:lang w:val="es-ES_tradnl" w:eastAsia="es-ES"/>
        </w:rPr>
        <w:t>Código QR</w:t>
      </w:r>
      <w:r w:rsidR="004D5B56">
        <w:rPr>
          <w:rFonts w:ascii="Geomanist" w:eastAsia="Times New Roman" w:hAnsi="Geomanist" w:cs="Arial"/>
          <w:b/>
          <w:sz w:val="20"/>
          <w:szCs w:val="20"/>
          <w:lang w:val="es-ES_tradnl" w:eastAsia="es-ES"/>
        </w:rPr>
        <w:t xml:space="preserve"> y </w:t>
      </w:r>
      <w:r w:rsidR="009308D3" w:rsidRPr="00484EEC">
        <w:rPr>
          <w:rFonts w:ascii="Geomanist" w:eastAsia="Times New Roman" w:hAnsi="Geomanist" w:cs="Arial"/>
          <w:b/>
          <w:sz w:val="20"/>
          <w:szCs w:val="20"/>
          <w:lang w:val="es-ES_tradnl" w:eastAsia="es-ES"/>
        </w:rPr>
        <w:t>Número de fo</w:t>
      </w:r>
      <w:r w:rsidR="009308D3">
        <w:rPr>
          <w:rFonts w:ascii="Geomanist" w:eastAsia="Times New Roman" w:hAnsi="Geomanist" w:cs="Arial"/>
          <w:b/>
          <w:sz w:val="20"/>
          <w:szCs w:val="20"/>
          <w:lang w:val="es-ES_tradnl" w:eastAsia="es-ES"/>
        </w:rPr>
        <w:t>l</w:t>
      </w:r>
      <w:r w:rsidR="004D5B56">
        <w:rPr>
          <w:rFonts w:ascii="Geomanist" w:eastAsia="Times New Roman" w:hAnsi="Geomanist" w:cs="Arial"/>
          <w:b/>
          <w:sz w:val="20"/>
          <w:szCs w:val="20"/>
          <w:lang w:val="es-ES_tradnl" w:eastAsia="es-ES"/>
        </w:rPr>
        <w:t xml:space="preserve">io de la credencial para votar </w:t>
      </w:r>
      <w:r w:rsidRPr="002F6B1D">
        <w:rPr>
          <w:rFonts w:ascii="Geomanist" w:eastAsia="Times New Roman" w:hAnsi="Geomanist" w:cs="Arial"/>
          <w:sz w:val="20"/>
          <w:szCs w:val="20"/>
          <w:lang w:eastAsia="es-ES"/>
        </w:rPr>
        <w:t xml:space="preserve">de conformidad con </w:t>
      </w:r>
      <w:r w:rsidR="001A38D0" w:rsidRPr="002F6B1D">
        <w:rPr>
          <w:rFonts w:ascii="Geomanist" w:eastAsia="Times New Roman" w:hAnsi="Geomanist" w:cs="Arial"/>
          <w:sz w:val="20"/>
          <w:szCs w:val="20"/>
          <w:lang w:eastAsia="es-ES"/>
        </w:rPr>
        <w:t>el fundamento legal artículo 115</w:t>
      </w:r>
      <w:r w:rsidRPr="002F6B1D">
        <w:rPr>
          <w:rFonts w:ascii="Geomanist" w:eastAsia="Times New Roman" w:hAnsi="Geomanist" w:cs="Arial"/>
          <w:sz w:val="20"/>
          <w:szCs w:val="20"/>
          <w:lang w:eastAsia="es-ES"/>
        </w:rPr>
        <w:t xml:space="preserve"> de la Ley </w:t>
      </w:r>
      <w:r w:rsidR="001A38D0" w:rsidRPr="002F6B1D">
        <w:rPr>
          <w:rFonts w:ascii="Geomanist" w:eastAsia="Times New Roman" w:hAnsi="Geomanist" w:cs="Arial"/>
          <w:sz w:val="20"/>
          <w:szCs w:val="20"/>
          <w:lang w:eastAsia="es-ES"/>
        </w:rPr>
        <w:t>General</w:t>
      </w:r>
      <w:r w:rsidRPr="002F6B1D">
        <w:rPr>
          <w:rFonts w:ascii="Geomanist" w:eastAsia="Times New Roman" w:hAnsi="Geomanist" w:cs="Arial"/>
          <w:sz w:val="20"/>
          <w:szCs w:val="20"/>
          <w:lang w:eastAsia="es-ES"/>
        </w:rPr>
        <w:t xml:space="preserve"> de Transparencia y Acceso a la Información Pública </w:t>
      </w:r>
      <w:r w:rsidR="006F1465" w:rsidRPr="002F6B1D">
        <w:rPr>
          <w:rFonts w:ascii="Geomanist" w:eastAsia="Times New Roman" w:hAnsi="Geomanist" w:cs="Arial"/>
          <w:sz w:val="20"/>
          <w:szCs w:val="20"/>
          <w:lang w:eastAsia="es-ES"/>
        </w:rPr>
        <w:t xml:space="preserve">contenidos en los </w:t>
      </w:r>
      <w:r w:rsidR="00991992" w:rsidRPr="002F6B1D">
        <w:rPr>
          <w:rFonts w:ascii="Geomanist" w:eastAsia="Times New Roman" w:hAnsi="Geomanist" w:cs="Arial"/>
          <w:sz w:val="20"/>
          <w:szCs w:val="20"/>
          <w:lang w:eastAsia="es-ES"/>
        </w:rPr>
        <w:t>documentos</w:t>
      </w:r>
      <w:r w:rsidR="00CE5538">
        <w:rPr>
          <w:rFonts w:ascii="Geomanist" w:eastAsia="Times New Roman" w:hAnsi="Geomanist" w:cs="Arial"/>
          <w:sz w:val="20"/>
          <w:szCs w:val="20"/>
          <w:lang w:eastAsia="es-ES"/>
        </w:rPr>
        <w:t xml:space="preserve"> mencionados en el considerando quinto</w:t>
      </w:r>
      <w:r w:rsidRPr="002F6B1D">
        <w:rPr>
          <w:rFonts w:ascii="Geomanist" w:eastAsia="Times New Roman" w:hAnsi="Geomanist" w:cs="Arial"/>
          <w:sz w:val="20"/>
          <w:szCs w:val="20"/>
          <w:lang w:eastAsia="es-ES"/>
        </w:rPr>
        <w:t>, entregados para atender la solicitud de acceso a información pública númer</w:t>
      </w:r>
      <w:r w:rsidR="004D5B56">
        <w:rPr>
          <w:rFonts w:ascii="Geomanist" w:eastAsia="Times New Roman" w:hAnsi="Geomanist" w:cs="Arial"/>
          <w:sz w:val="20"/>
          <w:szCs w:val="20"/>
          <w:lang w:eastAsia="es-ES"/>
        </w:rPr>
        <w:t>o 3400154000043</w:t>
      </w:r>
      <w:r w:rsidR="001E190B">
        <w:rPr>
          <w:rFonts w:ascii="Geomanist" w:eastAsia="Times New Roman" w:hAnsi="Geomanist" w:cs="Arial"/>
          <w:sz w:val="20"/>
          <w:szCs w:val="20"/>
          <w:lang w:eastAsia="es-ES"/>
        </w:rPr>
        <w:t>25</w:t>
      </w:r>
      <w:r w:rsidRPr="002F6B1D">
        <w:rPr>
          <w:rFonts w:ascii="Geomanist" w:eastAsia="Times New Roman" w:hAnsi="Geomanist" w:cs="Arial"/>
          <w:sz w:val="20"/>
          <w:szCs w:val="20"/>
          <w:lang w:eastAsia="es-ES"/>
        </w:rPr>
        <w:t>.</w:t>
      </w:r>
    </w:p>
    <w:p w:rsidR="008B7B48" w:rsidRDefault="008B7B48" w:rsidP="002F6B1D">
      <w:pPr>
        <w:pStyle w:val="Textoindependiente3"/>
        <w:spacing w:after="0" w:line="276" w:lineRule="auto"/>
        <w:jc w:val="both"/>
        <w:rPr>
          <w:rFonts w:ascii="Geomanist" w:hAnsi="Geomanist" w:cs="Arial"/>
          <w:sz w:val="20"/>
          <w:szCs w:val="20"/>
          <w:lang w:val="es-ES"/>
        </w:rPr>
      </w:pPr>
    </w:p>
    <w:p w:rsidR="008261C4" w:rsidRPr="002F6B1D" w:rsidRDefault="008261C4" w:rsidP="002F6B1D">
      <w:pPr>
        <w:pStyle w:val="Textoindependiente3"/>
        <w:spacing w:after="0" w:line="276" w:lineRule="auto"/>
        <w:jc w:val="both"/>
        <w:rPr>
          <w:rFonts w:ascii="Geomanist" w:hAnsi="Geomanist" w:cs="Arial"/>
          <w:sz w:val="20"/>
          <w:szCs w:val="20"/>
          <w:lang w:val="es-ES"/>
        </w:rPr>
      </w:pPr>
    </w:p>
    <w:p w:rsidR="00427096" w:rsidRPr="008C1463" w:rsidRDefault="00427096" w:rsidP="008C1463">
      <w:pPr>
        <w:pStyle w:val="Prrafodelista"/>
        <w:autoSpaceDE w:val="0"/>
        <w:autoSpaceDN w:val="0"/>
        <w:adjustRightInd w:val="0"/>
        <w:spacing w:after="0" w:line="276" w:lineRule="auto"/>
        <w:ind w:left="0"/>
        <w:jc w:val="both"/>
        <w:rPr>
          <w:rFonts w:ascii="Geomanist" w:eastAsia="Times New Roman" w:hAnsi="Geomanist" w:cs="Arial"/>
          <w:sz w:val="20"/>
          <w:szCs w:val="20"/>
          <w:lang w:eastAsia="es-ES"/>
        </w:rPr>
      </w:pPr>
      <w:r w:rsidRPr="002F6B1D">
        <w:rPr>
          <w:rFonts w:ascii="Geomanist" w:hAnsi="Geomanist" w:cs="Arial"/>
          <w:b/>
          <w:bCs/>
          <w:sz w:val="20"/>
          <w:szCs w:val="20"/>
        </w:rPr>
        <w:t>SEGUNDO.</w:t>
      </w:r>
      <w:r w:rsidRPr="002F6B1D">
        <w:rPr>
          <w:rFonts w:ascii="Geomanist" w:hAnsi="Geomanist" w:cs="Arial"/>
          <w:sz w:val="20"/>
          <w:szCs w:val="20"/>
        </w:rPr>
        <w:t xml:space="preserve"> Se aprueba la versión pública de los </w:t>
      </w:r>
      <w:r w:rsidR="00A77885" w:rsidRPr="002F6B1D">
        <w:rPr>
          <w:rFonts w:ascii="Geomanist" w:hAnsi="Geomanist" w:cs="Arial"/>
          <w:sz w:val="20"/>
          <w:szCs w:val="20"/>
        </w:rPr>
        <w:t>documentos solicitados</w:t>
      </w:r>
      <w:r w:rsidR="001638F1">
        <w:rPr>
          <w:rFonts w:ascii="Geomanist" w:hAnsi="Geomanist" w:cs="Arial"/>
          <w:sz w:val="20"/>
          <w:szCs w:val="20"/>
        </w:rPr>
        <w:t>, entregado</w:t>
      </w:r>
      <w:r w:rsidRPr="002F6B1D">
        <w:rPr>
          <w:rFonts w:ascii="Geomanist" w:hAnsi="Geomanist" w:cs="Arial"/>
          <w:sz w:val="20"/>
          <w:szCs w:val="20"/>
        </w:rPr>
        <w:t xml:space="preserve">s por </w:t>
      </w:r>
      <w:r w:rsidR="004D5B56" w:rsidRPr="0019675F">
        <w:rPr>
          <w:rFonts w:ascii="Geomanist" w:eastAsia="Times New Roman" w:hAnsi="Geomanist" w:cs="Arial"/>
          <w:sz w:val="20"/>
          <w:szCs w:val="20"/>
          <w:lang w:val="es-ES_tradnl" w:eastAsia="es-ES"/>
        </w:rPr>
        <w:t>Oscar Sánchez Bermúdez, Jefe del Departamento de Inventario y Activo Fijo</w:t>
      </w:r>
      <w:r w:rsidR="00DE0B35" w:rsidRPr="002F6B1D">
        <w:rPr>
          <w:rFonts w:ascii="Geomanist" w:hAnsi="Geomanist" w:cs="Arial"/>
          <w:sz w:val="20"/>
          <w:szCs w:val="20"/>
        </w:rPr>
        <w:t xml:space="preserve">, </w:t>
      </w:r>
      <w:r w:rsidR="00F870E5" w:rsidRPr="002F6B1D">
        <w:rPr>
          <w:rFonts w:ascii="Geomanist" w:hAnsi="Geomanist" w:cs="Arial"/>
          <w:sz w:val="20"/>
          <w:szCs w:val="20"/>
        </w:rPr>
        <w:t>c</w:t>
      </w:r>
      <w:r w:rsidRPr="002F6B1D">
        <w:rPr>
          <w:rFonts w:ascii="Geomanist" w:hAnsi="Geomanist" w:cs="Arial"/>
          <w:sz w:val="20"/>
          <w:szCs w:val="20"/>
        </w:rPr>
        <w:t xml:space="preserve">on el cual se dará atención a la solicitud de acceso a información pública número </w:t>
      </w:r>
      <w:r w:rsidR="004D5B56">
        <w:rPr>
          <w:rFonts w:ascii="Geomanist" w:eastAsia="Times New Roman" w:hAnsi="Geomanist" w:cs="Arial"/>
          <w:sz w:val="20"/>
          <w:szCs w:val="20"/>
          <w:lang w:eastAsia="es-ES"/>
        </w:rPr>
        <w:t>3400154000043</w:t>
      </w:r>
      <w:r w:rsidR="008C1463">
        <w:rPr>
          <w:rFonts w:ascii="Geomanist" w:eastAsia="Times New Roman" w:hAnsi="Geomanist" w:cs="Arial"/>
          <w:sz w:val="20"/>
          <w:szCs w:val="20"/>
          <w:lang w:eastAsia="es-ES"/>
        </w:rPr>
        <w:t>25</w:t>
      </w:r>
      <w:r w:rsidRPr="002F6B1D">
        <w:rPr>
          <w:rFonts w:ascii="Geomanist" w:hAnsi="Geomanist" w:cs="Arial"/>
          <w:sz w:val="20"/>
          <w:szCs w:val="20"/>
        </w:rPr>
        <w:t>, conforme a los considerandos PRIMERO, SEGUNDO, TERCERO, CUARTO, QUINTO,</w:t>
      </w:r>
      <w:r w:rsidR="00945F66">
        <w:rPr>
          <w:rFonts w:ascii="Geomanist" w:hAnsi="Geomanist" w:cs="Arial"/>
          <w:sz w:val="20"/>
          <w:szCs w:val="20"/>
        </w:rPr>
        <w:t xml:space="preserve"> SEXTO, SÉPTIMO, OCTAVO</w:t>
      </w:r>
      <w:r w:rsidR="00F870E5" w:rsidRPr="002F6B1D">
        <w:rPr>
          <w:rFonts w:ascii="Geomanist" w:hAnsi="Geomanist" w:cs="Arial"/>
          <w:sz w:val="20"/>
          <w:szCs w:val="20"/>
        </w:rPr>
        <w:t xml:space="preserve"> </w:t>
      </w:r>
      <w:r w:rsidR="00945F66" w:rsidRPr="002F6B1D">
        <w:rPr>
          <w:rFonts w:ascii="Geomanist" w:hAnsi="Geomanist" w:cs="Arial"/>
          <w:sz w:val="20"/>
          <w:szCs w:val="20"/>
        </w:rPr>
        <w:t xml:space="preserve">y </w:t>
      </w:r>
      <w:r w:rsidR="00F870E5" w:rsidRPr="002F6B1D">
        <w:rPr>
          <w:rFonts w:ascii="Geomanist" w:hAnsi="Geomanist" w:cs="Arial"/>
          <w:sz w:val="20"/>
          <w:szCs w:val="20"/>
        </w:rPr>
        <w:t xml:space="preserve">NOVENO </w:t>
      </w:r>
      <w:r w:rsidRPr="002F6B1D">
        <w:rPr>
          <w:rFonts w:ascii="Geomanist" w:hAnsi="Geomanist" w:cs="Arial"/>
          <w:sz w:val="20"/>
          <w:szCs w:val="20"/>
        </w:rPr>
        <w:t>del presente documento.</w:t>
      </w:r>
    </w:p>
    <w:p w:rsidR="008B7B48" w:rsidRDefault="008B7B48" w:rsidP="002F6B1D">
      <w:pPr>
        <w:pStyle w:val="Textoindependiente3"/>
        <w:spacing w:after="0" w:line="276" w:lineRule="auto"/>
        <w:jc w:val="both"/>
        <w:rPr>
          <w:rFonts w:ascii="Geomanist" w:hAnsi="Geomanist" w:cs="Arial"/>
          <w:sz w:val="20"/>
          <w:szCs w:val="20"/>
          <w:lang w:val="es-MX"/>
        </w:rPr>
      </w:pPr>
    </w:p>
    <w:p w:rsidR="008261C4" w:rsidRPr="002F6B1D" w:rsidRDefault="008261C4" w:rsidP="002F6B1D">
      <w:pPr>
        <w:pStyle w:val="Textoindependiente3"/>
        <w:spacing w:after="0" w:line="276" w:lineRule="auto"/>
        <w:jc w:val="both"/>
        <w:rPr>
          <w:rFonts w:ascii="Geomanist" w:hAnsi="Geomanist" w:cs="Arial"/>
          <w:sz w:val="20"/>
          <w:szCs w:val="20"/>
          <w:lang w:val="es-MX"/>
        </w:rPr>
      </w:pPr>
    </w:p>
    <w:p w:rsidR="00427096" w:rsidRPr="002F6B1D" w:rsidRDefault="00427096" w:rsidP="008C1463">
      <w:pPr>
        <w:pStyle w:val="Prrafodelista"/>
        <w:autoSpaceDE w:val="0"/>
        <w:autoSpaceDN w:val="0"/>
        <w:adjustRightInd w:val="0"/>
        <w:spacing w:after="0" w:line="276" w:lineRule="auto"/>
        <w:ind w:left="0"/>
        <w:jc w:val="both"/>
        <w:rPr>
          <w:rFonts w:ascii="Geomanist" w:hAnsi="Geomanist" w:cs="Arial"/>
          <w:sz w:val="20"/>
          <w:szCs w:val="20"/>
        </w:rPr>
      </w:pPr>
      <w:r w:rsidRPr="002F6B1D">
        <w:rPr>
          <w:rFonts w:ascii="Geomanist" w:hAnsi="Geomanist" w:cs="Arial"/>
          <w:b/>
          <w:bCs/>
          <w:sz w:val="20"/>
          <w:szCs w:val="20"/>
        </w:rPr>
        <w:lastRenderedPageBreak/>
        <w:t>TERCERO.</w:t>
      </w:r>
      <w:r w:rsidRPr="002F6B1D">
        <w:rPr>
          <w:rFonts w:ascii="Geomanist" w:hAnsi="Geomanist" w:cs="Arial"/>
          <w:sz w:val="20"/>
          <w:szCs w:val="20"/>
        </w:rPr>
        <w:t xml:space="preserve"> Se instruye a la Unidad de Transparencia para que entregue al solicitante, la presente resolución y </w:t>
      </w:r>
      <w:r w:rsidR="00A77885" w:rsidRPr="002F6B1D">
        <w:rPr>
          <w:rFonts w:ascii="Geomanist" w:hAnsi="Geomanist" w:cs="Arial"/>
          <w:sz w:val="20"/>
          <w:szCs w:val="20"/>
        </w:rPr>
        <w:t>los documentos que darán respuesta</w:t>
      </w:r>
      <w:r w:rsidRPr="002F6B1D">
        <w:rPr>
          <w:rFonts w:ascii="Geomanist" w:hAnsi="Geomanist" w:cs="Arial"/>
          <w:sz w:val="20"/>
          <w:szCs w:val="20"/>
        </w:rPr>
        <w:t xml:space="preserve"> en versión pública aprobados, en atención a </w:t>
      </w:r>
      <w:r w:rsidR="00F05FB9" w:rsidRPr="002F6B1D">
        <w:rPr>
          <w:rFonts w:ascii="Geomanist" w:hAnsi="Geomanist" w:cs="Arial"/>
          <w:sz w:val="20"/>
          <w:szCs w:val="20"/>
        </w:rPr>
        <w:t xml:space="preserve">la solicitud de acceso </w:t>
      </w:r>
      <w:r w:rsidR="004D5B56">
        <w:rPr>
          <w:rFonts w:ascii="Geomanist" w:eastAsia="Times New Roman" w:hAnsi="Geomanist" w:cs="Arial"/>
          <w:sz w:val="20"/>
          <w:szCs w:val="20"/>
          <w:lang w:eastAsia="es-ES"/>
        </w:rPr>
        <w:t>3400154000043</w:t>
      </w:r>
      <w:r w:rsidR="008C1463">
        <w:rPr>
          <w:rFonts w:ascii="Geomanist" w:eastAsia="Times New Roman" w:hAnsi="Geomanist" w:cs="Arial"/>
          <w:sz w:val="20"/>
          <w:szCs w:val="20"/>
          <w:lang w:eastAsia="es-ES"/>
        </w:rPr>
        <w:t>25</w:t>
      </w:r>
      <w:r w:rsidRPr="002F6B1D">
        <w:rPr>
          <w:rFonts w:ascii="Geomanist" w:hAnsi="Geomanist" w:cs="Arial"/>
          <w:sz w:val="20"/>
          <w:szCs w:val="20"/>
        </w:rPr>
        <w:t>, a través de la Plataforma Nacional de Transparencia.</w:t>
      </w:r>
    </w:p>
    <w:p w:rsidR="008B7B48" w:rsidRDefault="008B7B48" w:rsidP="002F6B1D">
      <w:pPr>
        <w:pStyle w:val="Textoindependiente3"/>
        <w:spacing w:after="0" w:line="276" w:lineRule="auto"/>
        <w:jc w:val="both"/>
        <w:rPr>
          <w:rFonts w:ascii="Geomanist" w:hAnsi="Geomanist" w:cs="Arial"/>
          <w:sz w:val="20"/>
          <w:szCs w:val="20"/>
        </w:rPr>
      </w:pPr>
    </w:p>
    <w:p w:rsidR="008261C4" w:rsidRPr="002F6B1D" w:rsidRDefault="008261C4" w:rsidP="002F6B1D">
      <w:pPr>
        <w:pStyle w:val="Textoindependiente3"/>
        <w:spacing w:after="0" w:line="276" w:lineRule="auto"/>
        <w:jc w:val="both"/>
        <w:rPr>
          <w:rFonts w:ascii="Geomanist" w:hAnsi="Geomanist" w:cs="Arial"/>
          <w:sz w:val="20"/>
          <w:szCs w:val="20"/>
        </w:rPr>
      </w:pPr>
    </w:p>
    <w:p w:rsidR="00427096" w:rsidRPr="002F6B1D" w:rsidRDefault="00427096" w:rsidP="002F6B1D">
      <w:pPr>
        <w:pStyle w:val="Textoindependiente3"/>
        <w:spacing w:after="0" w:line="276" w:lineRule="auto"/>
        <w:jc w:val="both"/>
        <w:rPr>
          <w:rFonts w:ascii="Geomanist" w:hAnsi="Geomanist" w:cs="Arial"/>
          <w:sz w:val="20"/>
          <w:szCs w:val="20"/>
        </w:rPr>
      </w:pPr>
      <w:r w:rsidRPr="002F6B1D">
        <w:rPr>
          <w:rFonts w:ascii="Geomanist" w:eastAsia="MS Mincho" w:hAnsi="Geomanist" w:cs="Arial"/>
          <w:sz w:val="20"/>
          <w:szCs w:val="20"/>
        </w:rPr>
        <w:t xml:space="preserve">Así lo resolvieron por unanimidad los integrantes que asisten </w:t>
      </w:r>
      <w:r w:rsidR="00C009C6" w:rsidRPr="002F6B1D">
        <w:rPr>
          <w:rFonts w:ascii="Geomanist" w:eastAsia="MS Mincho" w:hAnsi="Geomanist" w:cs="Arial"/>
          <w:sz w:val="20"/>
          <w:szCs w:val="20"/>
        </w:rPr>
        <w:t xml:space="preserve">a la </w:t>
      </w:r>
      <w:r w:rsidR="008C1463">
        <w:rPr>
          <w:rFonts w:ascii="Geomanist" w:eastAsia="MS Mincho" w:hAnsi="Geomanist" w:cs="Arial"/>
          <w:sz w:val="20"/>
          <w:szCs w:val="20"/>
        </w:rPr>
        <w:t>vigésima quinta</w:t>
      </w:r>
      <w:r w:rsidRPr="002F6B1D">
        <w:rPr>
          <w:rFonts w:ascii="Geomanist" w:eastAsia="MS Mincho" w:hAnsi="Geomanist" w:cs="Arial"/>
          <w:sz w:val="20"/>
          <w:szCs w:val="20"/>
        </w:rPr>
        <w:t xml:space="preserve"> reunión extraordinaria de 2025 del Comité de Transparencia del Hospital Infantil de México Federico Gómez.</w:t>
      </w:r>
    </w:p>
    <w:p w:rsidR="008B7B48" w:rsidRDefault="008B7B48" w:rsidP="002F6B1D">
      <w:pPr>
        <w:pStyle w:val="Textoindependiente3"/>
        <w:spacing w:after="0" w:line="276" w:lineRule="auto"/>
        <w:jc w:val="both"/>
        <w:rPr>
          <w:rFonts w:ascii="Geomanist" w:hAnsi="Geomanist" w:cs="Arial"/>
          <w:sz w:val="20"/>
          <w:szCs w:val="20"/>
        </w:rPr>
      </w:pPr>
    </w:p>
    <w:p w:rsidR="00954D68" w:rsidRDefault="00954D68" w:rsidP="002F6B1D">
      <w:pPr>
        <w:pStyle w:val="Textoindependiente3"/>
        <w:spacing w:after="0" w:line="276" w:lineRule="auto"/>
        <w:jc w:val="both"/>
        <w:rPr>
          <w:rFonts w:ascii="Geomanist" w:hAnsi="Geomanist" w:cs="Arial"/>
          <w:sz w:val="20"/>
          <w:szCs w:val="20"/>
        </w:rPr>
      </w:pPr>
    </w:p>
    <w:p w:rsidR="00954D68" w:rsidRDefault="00954D68" w:rsidP="002F6B1D">
      <w:pPr>
        <w:pStyle w:val="Textoindependiente3"/>
        <w:spacing w:after="0" w:line="276" w:lineRule="auto"/>
        <w:jc w:val="both"/>
        <w:rPr>
          <w:rFonts w:ascii="Geomanist" w:hAnsi="Geomanist" w:cs="Arial"/>
          <w:sz w:val="20"/>
          <w:szCs w:val="20"/>
        </w:rPr>
      </w:pPr>
    </w:p>
    <w:p w:rsidR="00D817E9" w:rsidRDefault="00D817E9" w:rsidP="002F6B1D">
      <w:pPr>
        <w:pStyle w:val="Textoindependiente3"/>
        <w:spacing w:after="0" w:line="276" w:lineRule="auto"/>
        <w:jc w:val="both"/>
        <w:rPr>
          <w:rFonts w:ascii="Geomanist" w:hAnsi="Geomanist" w:cs="Arial"/>
          <w:sz w:val="20"/>
          <w:szCs w:val="20"/>
        </w:rPr>
      </w:pPr>
    </w:p>
    <w:tbl>
      <w:tblPr>
        <w:tblW w:w="8474" w:type="dxa"/>
        <w:tblInd w:w="142" w:type="dxa"/>
        <w:tblBorders>
          <w:top w:val="single" w:sz="4" w:space="0" w:color="auto"/>
        </w:tblBorders>
        <w:tblLayout w:type="fixed"/>
        <w:tblCellMar>
          <w:left w:w="70" w:type="dxa"/>
          <w:right w:w="70" w:type="dxa"/>
        </w:tblCellMar>
        <w:tblLook w:val="0000" w:firstRow="0" w:lastRow="0" w:firstColumn="0" w:lastColumn="0" w:noHBand="0" w:noVBand="0"/>
      </w:tblPr>
      <w:tblGrid>
        <w:gridCol w:w="3969"/>
        <w:gridCol w:w="611"/>
        <w:gridCol w:w="3894"/>
      </w:tblGrid>
      <w:tr w:rsidR="00660C86" w:rsidRPr="002F6B1D" w:rsidTr="00954D68">
        <w:trPr>
          <w:trHeight w:val="1551"/>
        </w:trPr>
        <w:tc>
          <w:tcPr>
            <w:tcW w:w="3969" w:type="dxa"/>
          </w:tcPr>
          <w:p w:rsidR="00954D68" w:rsidRDefault="00954D68" w:rsidP="00954D68">
            <w:pPr>
              <w:pStyle w:val="Ttulo1"/>
              <w:spacing w:before="0"/>
              <w:contextualSpacing/>
              <w:jc w:val="center"/>
              <w:rPr>
                <w:rFonts w:ascii="Geomanist" w:eastAsia="MS Mincho" w:hAnsi="Geomanist" w:cs="Arial"/>
                <w:sz w:val="20"/>
                <w:szCs w:val="20"/>
              </w:rPr>
            </w:pPr>
            <w:r>
              <w:rPr>
                <w:rFonts w:ascii="Geomanist" w:eastAsia="MS Mincho" w:hAnsi="Geomanist" w:cs="Arial"/>
                <w:sz w:val="20"/>
                <w:szCs w:val="20"/>
              </w:rPr>
              <w:t>CIRO LÓPEZ MENDOZA</w:t>
            </w:r>
          </w:p>
          <w:p w:rsidR="00660C86" w:rsidRPr="00D817E9" w:rsidRDefault="00954D68" w:rsidP="00954D68">
            <w:pPr>
              <w:pStyle w:val="Ttulo1"/>
              <w:spacing w:before="0"/>
              <w:contextualSpacing/>
              <w:jc w:val="center"/>
              <w:rPr>
                <w:rFonts w:ascii="Geomanist" w:eastAsia="MS Mincho" w:hAnsi="Geomanist" w:cs="Arial"/>
                <w:sz w:val="20"/>
                <w:szCs w:val="20"/>
              </w:rPr>
            </w:pPr>
            <w:r w:rsidRPr="006C5F33">
              <w:rPr>
                <w:rFonts w:ascii="Geomanist" w:eastAsia="MS Mincho" w:hAnsi="Geomanist" w:cs="Arial"/>
                <w:b w:val="0"/>
                <w:sz w:val="20"/>
                <w:szCs w:val="20"/>
              </w:rPr>
              <w:t>Jefe de Servicio en representación de</w:t>
            </w:r>
            <w:r>
              <w:rPr>
                <w:rFonts w:ascii="Geomanist" w:eastAsia="MS Mincho" w:hAnsi="Geomanist" w:cs="Arial"/>
                <w:sz w:val="20"/>
                <w:szCs w:val="20"/>
              </w:rPr>
              <w:t xml:space="preserve"> </w:t>
            </w:r>
            <w:r w:rsidR="00660C86" w:rsidRPr="00954D68">
              <w:rPr>
                <w:rFonts w:ascii="Geomanist" w:eastAsia="MS Mincho" w:hAnsi="Geomanist" w:cs="Arial"/>
                <w:b w:val="0"/>
                <w:sz w:val="20"/>
                <w:szCs w:val="20"/>
              </w:rPr>
              <w:t>MIRIAM GUADALUPE HERRERA SEGURA</w:t>
            </w:r>
          </w:p>
          <w:p w:rsidR="00660C86" w:rsidRPr="002F6B1D" w:rsidRDefault="00660C86" w:rsidP="00D817E9">
            <w:pPr>
              <w:pStyle w:val="Ttulo1"/>
              <w:spacing w:before="0"/>
              <w:contextualSpacing/>
              <w:jc w:val="center"/>
              <w:rPr>
                <w:rFonts w:ascii="Geomanist" w:hAnsi="Geomanist" w:cs="Arial"/>
                <w:b w:val="0"/>
                <w:sz w:val="20"/>
                <w:szCs w:val="20"/>
              </w:rPr>
            </w:pPr>
            <w:r w:rsidRPr="002F6B1D">
              <w:rPr>
                <w:rFonts w:ascii="Geomanist" w:hAnsi="Geomanist" w:cs="Arial"/>
                <w:b w:val="0"/>
                <w:sz w:val="20"/>
                <w:szCs w:val="20"/>
                <w:lang w:val="es-MX"/>
              </w:rPr>
              <w:t xml:space="preserve">Directora de Planeación y </w:t>
            </w:r>
            <w:r w:rsidR="006C5F33">
              <w:rPr>
                <w:rFonts w:ascii="Geomanist" w:hAnsi="Geomanist" w:cs="Arial"/>
                <w:b w:val="0"/>
                <w:sz w:val="20"/>
                <w:szCs w:val="20"/>
              </w:rPr>
              <w:t xml:space="preserve">Responsable </w:t>
            </w:r>
            <w:r w:rsidRPr="002F6B1D">
              <w:rPr>
                <w:rFonts w:ascii="Geomanist" w:hAnsi="Geomanist" w:cs="Arial"/>
                <w:b w:val="0"/>
                <w:sz w:val="20"/>
                <w:szCs w:val="20"/>
              </w:rPr>
              <w:t>de la Unidad de Transparencia</w:t>
            </w:r>
            <w:r w:rsidR="00D817E9">
              <w:rPr>
                <w:rFonts w:ascii="Geomanist" w:hAnsi="Geomanist" w:cs="Arial"/>
                <w:b w:val="0"/>
                <w:sz w:val="20"/>
                <w:szCs w:val="20"/>
              </w:rPr>
              <w:t xml:space="preserve"> del </w:t>
            </w:r>
            <w:r w:rsidR="00D817E9" w:rsidRPr="00D817E9">
              <w:rPr>
                <w:rFonts w:ascii="Geomanist" w:eastAsiaTheme="majorEastAsia" w:hAnsi="Geomanist" w:cs="Arial"/>
                <w:b w:val="0"/>
                <w:sz w:val="20"/>
                <w:lang w:eastAsia="es-ES"/>
              </w:rPr>
              <w:t>Hospital Infantil de México Fed</w:t>
            </w:r>
            <w:bookmarkStart w:id="0" w:name="_GoBack"/>
            <w:bookmarkEnd w:id="0"/>
            <w:r w:rsidR="00D817E9" w:rsidRPr="00D817E9">
              <w:rPr>
                <w:rFonts w:ascii="Geomanist" w:eastAsiaTheme="majorEastAsia" w:hAnsi="Geomanist" w:cs="Arial"/>
                <w:b w:val="0"/>
                <w:sz w:val="20"/>
                <w:lang w:eastAsia="es-ES"/>
              </w:rPr>
              <w:t>erico Gómez</w:t>
            </w:r>
          </w:p>
          <w:p w:rsidR="00660C86" w:rsidRPr="002F6B1D" w:rsidRDefault="00660C86" w:rsidP="003353F3">
            <w:pPr>
              <w:jc w:val="both"/>
              <w:rPr>
                <w:rFonts w:ascii="Geomanist" w:hAnsi="Geomanist"/>
                <w:sz w:val="20"/>
                <w:lang w:val="es-ES_tradnl" w:eastAsia="es-ES"/>
              </w:rPr>
            </w:pPr>
          </w:p>
        </w:tc>
        <w:tc>
          <w:tcPr>
            <w:tcW w:w="611" w:type="dxa"/>
            <w:tcBorders>
              <w:top w:val="nil"/>
            </w:tcBorders>
          </w:tcPr>
          <w:p w:rsidR="00660C86" w:rsidRPr="002F6B1D" w:rsidRDefault="00660C86" w:rsidP="003353F3">
            <w:pPr>
              <w:ind w:left="188"/>
              <w:contextualSpacing/>
              <w:jc w:val="both"/>
              <w:rPr>
                <w:rFonts w:ascii="Geomanist" w:hAnsi="Geomanist" w:cs="Arial"/>
                <w:sz w:val="20"/>
                <w:szCs w:val="20"/>
              </w:rPr>
            </w:pPr>
          </w:p>
        </w:tc>
        <w:tc>
          <w:tcPr>
            <w:tcW w:w="3894" w:type="dxa"/>
          </w:tcPr>
          <w:p w:rsidR="00954D68" w:rsidRDefault="00954D68" w:rsidP="00954D68">
            <w:pPr>
              <w:pStyle w:val="Textbody"/>
              <w:jc w:val="center"/>
              <w:rPr>
                <w:rFonts w:ascii="Geomanist" w:eastAsiaTheme="minorEastAsia" w:hAnsi="Geomanist" w:cstheme="minorHAnsi"/>
                <w:b/>
                <w:sz w:val="20"/>
                <w:lang w:eastAsia="es-MX"/>
              </w:rPr>
            </w:pPr>
            <w:r w:rsidRPr="004B580A">
              <w:rPr>
                <w:rFonts w:ascii="Geomanist" w:eastAsiaTheme="minorEastAsia" w:hAnsi="Geomanist" w:cstheme="minorHAnsi"/>
                <w:b/>
                <w:sz w:val="20"/>
                <w:lang w:eastAsia="es-MX"/>
              </w:rPr>
              <w:t>ESTHER ESPINO HERNÁNDEZ</w:t>
            </w:r>
          </w:p>
          <w:p w:rsidR="00660C86" w:rsidRPr="002F6B1D" w:rsidRDefault="00954D68" w:rsidP="00954D68">
            <w:pPr>
              <w:pStyle w:val="Textbody"/>
              <w:jc w:val="center"/>
              <w:rPr>
                <w:rFonts w:ascii="Geomanist" w:hAnsi="Geomanist" w:cs="Arial"/>
                <w:sz w:val="20"/>
              </w:rPr>
            </w:pPr>
            <w:r w:rsidRPr="004B580A">
              <w:rPr>
                <w:rFonts w:ascii="Geomanist" w:eastAsiaTheme="minorEastAsia" w:hAnsi="Geomanist" w:cstheme="minorHAnsi"/>
                <w:sz w:val="20"/>
                <w:lang w:eastAsia="es-MX"/>
              </w:rPr>
              <w:t xml:space="preserve">Apoyo Administrativo en Salud A7, en representación de </w:t>
            </w:r>
            <w:r w:rsidR="00660C86" w:rsidRPr="00954D68">
              <w:rPr>
                <w:rFonts w:ascii="Geomanist" w:eastAsia="MS Mincho" w:hAnsi="Geomanist" w:cs="Arial"/>
                <w:kern w:val="0"/>
                <w:sz w:val="20"/>
                <w:lang w:eastAsia="es-MX"/>
              </w:rPr>
              <w:t>H</w:t>
            </w:r>
            <w:r w:rsidR="00D817E9" w:rsidRPr="00954D68">
              <w:rPr>
                <w:rFonts w:ascii="Geomanist" w:eastAsia="MS Mincho" w:hAnsi="Geomanist" w:cs="Arial"/>
                <w:kern w:val="0"/>
                <w:sz w:val="20"/>
                <w:lang w:eastAsia="es-MX"/>
              </w:rPr>
              <w:t>É</w:t>
            </w:r>
            <w:r w:rsidR="00660C86" w:rsidRPr="00954D68">
              <w:rPr>
                <w:rFonts w:ascii="Geomanist" w:eastAsia="MS Mincho" w:hAnsi="Geomanist" w:cs="Arial"/>
                <w:kern w:val="0"/>
                <w:sz w:val="20"/>
                <w:lang w:eastAsia="es-MX"/>
              </w:rPr>
              <w:t>CTOR OLIVARES CLAVIJO</w:t>
            </w:r>
            <w:r>
              <w:rPr>
                <w:rFonts w:ascii="Geomanist" w:eastAsia="MS Mincho" w:hAnsi="Geomanist" w:cs="Arial"/>
                <w:kern w:val="0"/>
                <w:sz w:val="20"/>
                <w:lang w:eastAsia="es-MX"/>
              </w:rPr>
              <w:t xml:space="preserve">, </w:t>
            </w:r>
            <w:r w:rsidR="00660C86" w:rsidRPr="00D817E9">
              <w:rPr>
                <w:rFonts w:ascii="Geomanist" w:hAnsi="Geomanist" w:cs="Arial"/>
                <w:sz w:val="20"/>
                <w:lang w:val="es-MX"/>
              </w:rPr>
              <w:t xml:space="preserve">Jefe del Departamento de </w:t>
            </w:r>
            <w:proofErr w:type="spellStart"/>
            <w:r w:rsidR="00660C86" w:rsidRPr="00D817E9">
              <w:rPr>
                <w:rFonts w:ascii="Geomanist" w:hAnsi="Geomanist" w:cs="Arial"/>
                <w:sz w:val="20"/>
                <w:lang w:val="es-MX"/>
              </w:rPr>
              <w:t>Hemerobiblioteca</w:t>
            </w:r>
            <w:proofErr w:type="spellEnd"/>
            <w:r w:rsidR="00660C86" w:rsidRPr="00D817E9">
              <w:rPr>
                <w:rFonts w:ascii="Geomanist" w:hAnsi="Geomanist" w:cs="Arial"/>
                <w:sz w:val="20"/>
                <w:lang w:val="es-MX"/>
              </w:rPr>
              <w:t xml:space="preserve"> y Coordinador General de Archivos del Hospital Infantil de México Federico Gómez</w:t>
            </w:r>
          </w:p>
        </w:tc>
      </w:tr>
    </w:tbl>
    <w:p w:rsidR="00427096" w:rsidRDefault="00427096" w:rsidP="002F6B1D">
      <w:pPr>
        <w:contextualSpacing/>
        <w:jc w:val="both"/>
        <w:rPr>
          <w:rFonts w:ascii="Geomanist" w:hAnsi="Geomanist" w:cs="Arial"/>
          <w:sz w:val="20"/>
          <w:szCs w:val="20"/>
        </w:rPr>
      </w:pPr>
    </w:p>
    <w:p w:rsidR="006B77A1" w:rsidRDefault="006B77A1" w:rsidP="002F6B1D">
      <w:pPr>
        <w:contextualSpacing/>
        <w:jc w:val="both"/>
        <w:rPr>
          <w:rFonts w:ascii="Geomanist" w:hAnsi="Geomanist" w:cs="Arial"/>
          <w:sz w:val="20"/>
          <w:szCs w:val="20"/>
        </w:rPr>
      </w:pPr>
    </w:p>
    <w:p w:rsidR="00660C86" w:rsidRPr="002F6B1D" w:rsidRDefault="00660C86" w:rsidP="002F6B1D">
      <w:pPr>
        <w:contextualSpacing/>
        <w:jc w:val="both"/>
        <w:rPr>
          <w:rFonts w:ascii="Geomanist" w:hAnsi="Geomanist" w:cs="Arial"/>
          <w:sz w:val="20"/>
          <w:szCs w:val="20"/>
        </w:rPr>
      </w:pPr>
    </w:p>
    <w:tbl>
      <w:tblPr>
        <w:tblW w:w="4531" w:type="dxa"/>
        <w:tblInd w:w="2127" w:type="dxa"/>
        <w:tblBorders>
          <w:top w:val="single" w:sz="4" w:space="0" w:color="auto"/>
        </w:tblBorders>
        <w:tblLayout w:type="fixed"/>
        <w:tblCellMar>
          <w:left w:w="70" w:type="dxa"/>
          <w:right w:w="70" w:type="dxa"/>
        </w:tblCellMar>
        <w:tblLook w:val="0000" w:firstRow="0" w:lastRow="0" w:firstColumn="0" w:lastColumn="0" w:noHBand="0" w:noVBand="0"/>
      </w:tblPr>
      <w:tblGrid>
        <w:gridCol w:w="4531"/>
      </w:tblGrid>
      <w:tr w:rsidR="00660C86" w:rsidRPr="002F6B1D" w:rsidTr="00954D68">
        <w:trPr>
          <w:trHeight w:val="1529"/>
        </w:trPr>
        <w:tc>
          <w:tcPr>
            <w:tcW w:w="4531" w:type="dxa"/>
          </w:tcPr>
          <w:p w:rsidR="00954D68" w:rsidRDefault="00954D68" w:rsidP="00945F66">
            <w:pPr>
              <w:contextualSpacing/>
              <w:jc w:val="center"/>
              <w:rPr>
                <w:rFonts w:ascii="Geomanist" w:hAnsi="Geomanist" w:cs="Arial"/>
                <w:sz w:val="20"/>
                <w:lang w:val="es-ES_tradnl" w:eastAsia="es-ES"/>
              </w:rPr>
            </w:pPr>
            <w:r w:rsidRPr="0012455C">
              <w:rPr>
                <w:rFonts w:ascii="Geomanist" w:hAnsi="Geomanist" w:cs="Arial"/>
                <w:b/>
                <w:sz w:val="20"/>
                <w:lang w:val="es-ES_tradnl" w:eastAsia="es-ES"/>
              </w:rPr>
              <w:t>PEDRO GARCÍA DIEGO</w:t>
            </w:r>
          </w:p>
          <w:p w:rsidR="00660C86" w:rsidRPr="002F6B1D" w:rsidRDefault="00954D68" w:rsidP="00945F66">
            <w:pPr>
              <w:contextualSpacing/>
              <w:jc w:val="center"/>
              <w:rPr>
                <w:rFonts w:ascii="Geomanist" w:hAnsi="Geomanist" w:cs="Arial"/>
                <w:sz w:val="20"/>
                <w:szCs w:val="20"/>
              </w:rPr>
            </w:pPr>
            <w:r w:rsidRPr="0012455C">
              <w:rPr>
                <w:rFonts w:ascii="Geomanist" w:hAnsi="Geomanist" w:cs="Arial"/>
                <w:sz w:val="20"/>
                <w:lang w:val="es-ES_tradnl" w:eastAsia="es-ES"/>
              </w:rPr>
              <w:t>Jefe de Departamento en Área Médica A, adscrito</w:t>
            </w:r>
            <w:r w:rsidRPr="00660C86">
              <w:rPr>
                <w:rFonts w:ascii="Geomanist" w:hAnsi="Geomanist" w:cs="Arial"/>
                <w:sz w:val="20"/>
                <w:szCs w:val="20"/>
              </w:rPr>
              <w:t xml:space="preserve"> </w:t>
            </w:r>
            <w:r>
              <w:rPr>
                <w:rFonts w:ascii="Geomanist" w:hAnsi="Geomanist" w:cs="Arial"/>
                <w:sz w:val="20"/>
                <w:szCs w:val="20"/>
              </w:rPr>
              <w:t xml:space="preserve">a la Oficina </w:t>
            </w:r>
            <w:r w:rsidR="00660C86" w:rsidRPr="00660C86">
              <w:rPr>
                <w:rFonts w:ascii="Geomanist" w:hAnsi="Geomanist" w:cs="Arial"/>
                <w:sz w:val="20"/>
                <w:szCs w:val="20"/>
              </w:rPr>
              <w:t xml:space="preserve">de Representación en el </w:t>
            </w:r>
            <w:r w:rsidR="00D817E9" w:rsidRPr="002F6B1D">
              <w:rPr>
                <w:rFonts w:ascii="Geomanist" w:eastAsiaTheme="majorEastAsia" w:hAnsi="Geomanist" w:cs="Arial"/>
                <w:sz w:val="20"/>
                <w:lang w:eastAsia="es-ES"/>
              </w:rPr>
              <w:t>Hospital Infantil de México Federico Gómez</w:t>
            </w:r>
            <w:r w:rsidR="00660C86" w:rsidRPr="00660C86">
              <w:rPr>
                <w:rFonts w:ascii="Geomanist" w:hAnsi="Geomanist" w:cs="Arial"/>
                <w:sz w:val="20"/>
                <w:szCs w:val="20"/>
              </w:rPr>
              <w:t>, en suplencia de LINDA PILAR BLANCAS GARCÉS, Titular del Órgano Interno de Co</w:t>
            </w:r>
            <w:r>
              <w:rPr>
                <w:rFonts w:ascii="Geomanist" w:hAnsi="Geomanist" w:cs="Arial"/>
                <w:sz w:val="20"/>
                <w:szCs w:val="20"/>
              </w:rPr>
              <w:t>ntrol en la Secretarí</w:t>
            </w:r>
            <w:r w:rsidR="00D817E9">
              <w:rPr>
                <w:rFonts w:ascii="Geomanist" w:hAnsi="Geomanist" w:cs="Arial"/>
                <w:sz w:val="20"/>
                <w:szCs w:val="20"/>
              </w:rPr>
              <w:t>a de Salud</w:t>
            </w:r>
          </w:p>
        </w:tc>
      </w:tr>
    </w:tbl>
    <w:p w:rsidR="00FD192D" w:rsidRPr="00BA5A19" w:rsidRDefault="00FD192D" w:rsidP="00BA5A19">
      <w:pPr>
        <w:contextualSpacing/>
        <w:jc w:val="both"/>
        <w:rPr>
          <w:rFonts w:ascii="Geomanist" w:eastAsia="Noto Sans" w:hAnsi="Geomanist" w:cs="Noto Sans"/>
          <w:sz w:val="2"/>
          <w:szCs w:val="18"/>
        </w:rPr>
      </w:pPr>
    </w:p>
    <w:sectPr w:rsidR="00FD192D" w:rsidRPr="00BA5A19">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74D" w:rsidRDefault="0083574D">
      <w:r>
        <w:separator/>
      </w:r>
    </w:p>
  </w:endnote>
  <w:endnote w:type="continuationSeparator" w:id="0">
    <w:p w:rsidR="0083574D" w:rsidRDefault="00835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manist">
    <w:panose1 w:val="02000503000000020004"/>
    <w:charset w:val="00"/>
    <w:family w:val="modern"/>
    <w:notTrueType/>
    <w:pitch w:val="variable"/>
    <w:sig w:usb0="A000002F" w:usb1="1000004A" w:usb2="00000000" w:usb3="00000000" w:csb0="00000193" w:csb1="00000000"/>
  </w:font>
  <w:font w:name="Noto Sans">
    <w:altName w:val="Segoe UI"/>
    <w:charset w:val="00"/>
    <w:family w:val="swiss"/>
    <w:pitch w:val="variable"/>
    <w:sig w:usb0="00000001" w:usb1="4000205F" w:usb2="08000029" w:usb3="00000000" w:csb0="0000019F" w:csb1="00000000"/>
  </w:font>
  <w:font w:name="Montserrat">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F66" w:rsidRDefault="00945F66" w:rsidP="008A0A04">
    <w:pPr>
      <w:pBdr>
        <w:top w:val="nil"/>
        <w:left w:val="nil"/>
        <w:bottom w:val="nil"/>
        <w:right w:val="nil"/>
        <w:between w:val="nil"/>
      </w:pBdr>
      <w:tabs>
        <w:tab w:val="center" w:pos="4419"/>
        <w:tab w:val="right" w:pos="8838"/>
      </w:tabs>
      <w:jc w:val="center"/>
      <w:rPr>
        <w:rFonts w:ascii="Montserrat" w:hAnsi="Montserrat"/>
        <w:noProof/>
        <w:color w:val="7F7F7F"/>
        <w:spacing w:val="60"/>
        <w:sz w:val="14"/>
        <w:szCs w:val="16"/>
      </w:rPr>
    </w:pPr>
  </w:p>
  <w:p w:rsidR="00FD192D" w:rsidRDefault="008261C4" w:rsidP="008A0A04">
    <w:pPr>
      <w:pBdr>
        <w:top w:val="nil"/>
        <w:left w:val="nil"/>
        <w:bottom w:val="nil"/>
        <w:right w:val="nil"/>
        <w:between w:val="nil"/>
      </w:pBdr>
      <w:tabs>
        <w:tab w:val="center" w:pos="4419"/>
        <w:tab w:val="right" w:pos="8838"/>
      </w:tabs>
      <w:jc w:val="center"/>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14:anchorId="3AD67998" wp14:editId="51038306">
              <wp:simplePos x="0" y="0"/>
              <wp:positionH relativeFrom="column">
                <wp:posOffset>1199013</wp:posOffset>
              </wp:positionH>
              <wp:positionV relativeFrom="paragraph">
                <wp:posOffset>373219</wp:posOffset>
              </wp:positionV>
              <wp:extent cx="5189382"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189382"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D67998" id="Rectángulo 3" o:spid="_x0000_s1027" style="position:absolute;left:0;text-align:left;margin-left:94.4pt;margin-top:29.4pt;width:408.6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r w:rsidR="00DD747A" w:rsidRPr="009E6392">
                      <w:rPr>
                        <w:rFonts w:ascii="Noto Sans" w:eastAsia="Noto Sans" w:hAnsi="Noto Sans" w:cs="Noto Sans"/>
                        <w:color w:val="4D192A"/>
                        <w:sz w:val="13"/>
                      </w:rPr>
                      <w:t>Márquez</w:t>
                    </w:r>
                    <w:r w:rsidRPr="009E6392">
                      <w:rPr>
                        <w:rFonts w:ascii="Noto Sans" w:eastAsia="Noto Sans" w:hAnsi="Noto Sans" w:cs="Noto Sans"/>
                        <w:color w:val="4D192A"/>
                        <w:sz w:val="13"/>
                      </w:rPr>
                      <w:t xml:space="preserve"> No. 162, Col. Doctores, CP. 06720, Alcaldía Cuauhtémoc, Ciudad de México.</w:t>
                    </w:r>
                  </w:p>
                  <w:p w:rsidR="009E6392" w:rsidRPr="009E6392" w:rsidRDefault="00DD747A" w:rsidP="009E6392">
                    <w:pPr>
                      <w:pStyle w:val="Piedepgina"/>
                      <w:spacing w:line="288" w:lineRule="auto"/>
                      <w:rPr>
                        <w:rFonts w:ascii="Noto Sans" w:eastAsia="Noto Sans" w:hAnsi="Noto Sans" w:cs="Noto Sans"/>
                        <w:color w:val="4D192A"/>
                        <w:sz w:val="13"/>
                      </w:rPr>
                    </w:pPr>
                    <w:r>
                      <w:rPr>
                        <w:rFonts w:ascii="Noto Sans" w:eastAsia="Noto Sans" w:hAnsi="Noto Sans" w:cs="Noto Sans"/>
                        <w:color w:val="4D192A"/>
                        <w:sz w:val="13"/>
                      </w:rPr>
                      <w:t>Tel. 55 5228 99 17  Ext. 2505  www.himfg.edu</w:t>
                    </w:r>
                    <w:r w:rsidR="009E6392" w:rsidRPr="009E6392">
                      <w:rPr>
                        <w:rFonts w:ascii="Noto Sans" w:eastAsia="Noto Sans" w:hAnsi="Noto Sans" w:cs="Noto Sans"/>
                        <w:color w:val="4D192A"/>
                        <w:sz w:val="13"/>
                      </w:rPr>
                      <w:t>.mx</w:t>
                    </w:r>
                  </w:p>
                </w:txbxContent>
              </v:textbox>
            </v:rect>
          </w:pict>
        </mc:Fallback>
      </mc:AlternateContent>
    </w:r>
    <w:r w:rsidR="008A0A04" w:rsidRPr="00574E87">
      <w:rPr>
        <w:rFonts w:ascii="Montserrat" w:hAnsi="Montserrat"/>
        <w:noProof/>
        <w:color w:val="7F7F7F"/>
        <w:spacing w:val="60"/>
        <w:sz w:val="14"/>
        <w:szCs w:val="16"/>
      </w:rPr>
      <w:t>Página</w:t>
    </w:r>
    <w:r w:rsidR="008A0A04" w:rsidRPr="00574E87">
      <w:rPr>
        <w:rFonts w:ascii="Montserrat" w:hAnsi="Montserrat"/>
        <w:noProof/>
        <w:sz w:val="14"/>
        <w:szCs w:val="16"/>
      </w:rPr>
      <w:t xml:space="preserve"> | </w:t>
    </w:r>
    <w:r w:rsidR="008A0A04" w:rsidRPr="00574E87">
      <w:rPr>
        <w:rFonts w:ascii="Montserrat" w:hAnsi="Montserrat"/>
        <w:noProof/>
        <w:sz w:val="14"/>
        <w:szCs w:val="16"/>
      </w:rPr>
      <w:fldChar w:fldCharType="begin"/>
    </w:r>
    <w:r w:rsidR="008A0A04" w:rsidRPr="00574E87">
      <w:rPr>
        <w:rFonts w:ascii="Montserrat" w:hAnsi="Montserrat"/>
        <w:noProof/>
        <w:sz w:val="14"/>
        <w:szCs w:val="16"/>
      </w:rPr>
      <w:instrText>PAGE   \* MERGEFORMAT</w:instrText>
    </w:r>
    <w:r w:rsidR="008A0A04" w:rsidRPr="00574E87">
      <w:rPr>
        <w:rFonts w:ascii="Montserrat" w:hAnsi="Montserrat"/>
        <w:noProof/>
        <w:sz w:val="14"/>
        <w:szCs w:val="16"/>
      </w:rPr>
      <w:fldChar w:fldCharType="separate"/>
    </w:r>
    <w:r w:rsidR="006C5F33">
      <w:rPr>
        <w:rFonts w:ascii="Montserrat" w:hAnsi="Montserrat"/>
        <w:noProof/>
        <w:sz w:val="14"/>
        <w:szCs w:val="16"/>
      </w:rPr>
      <w:t>7</w:t>
    </w:r>
    <w:r w:rsidR="008A0A04" w:rsidRPr="00574E87">
      <w:rPr>
        <w:rFonts w:ascii="Montserrat" w:hAnsi="Montserrat"/>
        <w:b/>
        <w:bCs/>
        <w:noProof/>
        <w:sz w:val="14"/>
        <w:szCs w:val="16"/>
      </w:rPr>
      <w:fldChar w:fldCharType="end"/>
    </w:r>
    <w:r w:rsidR="00F05FB9">
      <w:rPr>
        <w:rFonts w:ascii="Montserrat" w:hAnsi="Montserrat"/>
        <w:b/>
        <w:bCs/>
        <w:noProof/>
        <w:sz w:val="14"/>
        <w:szCs w:val="16"/>
      </w:rPr>
      <w:t xml:space="preserve">  /  </w:t>
    </w:r>
    <w:r w:rsidR="006B77A1">
      <w:rPr>
        <w:rFonts w:ascii="Montserrat" w:hAnsi="Montserrat"/>
        <w:b/>
        <w:bCs/>
        <w:noProof/>
        <w:sz w:val="14"/>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74D" w:rsidRDefault="0083574D">
      <w:r>
        <w:separator/>
      </w:r>
    </w:p>
  </w:footnote>
  <w:footnote w:type="continuationSeparator" w:id="0">
    <w:p w:rsidR="0083574D" w:rsidRDefault="00835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Pr="00945F66" w:rsidRDefault="00FE1AD3" w:rsidP="008E4B2D">
    <w:pPr>
      <w:jc w:val="center"/>
      <w:rPr>
        <w:color w:val="000000"/>
        <w:sz w:val="14"/>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column">
                <wp:posOffset>2386965</wp:posOffset>
              </wp:positionH>
              <wp:positionV relativeFrom="paragraph">
                <wp:posOffset>-1001395</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FE1AD3" w:rsidRPr="002F6B1D" w:rsidRDefault="00FE1AD3" w:rsidP="00376A25">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Hospital Infantil de México Federico Gómez</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 xml:space="preserve">               </w:t>
                          </w:r>
                          <w:r w:rsidR="008E4B2D" w:rsidRPr="002F6B1D">
                            <w:rPr>
                              <w:rFonts w:ascii="Geomanist" w:eastAsiaTheme="minorHAnsi" w:hAnsi="Geomanist" w:cstheme="minorBidi"/>
                              <w:color w:val="595959" w:themeColor="text1" w:themeTint="A6"/>
                              <w:sz w:val="18"/>
                              <w:szCs w:val="18"/>
                              <w:lang w:eastAsia="en-US"/>
                            </w:rPr>
                            <w:t xml:space="preserve">                  </w:t>
                          </w:r>
                          <w:r w:rsidR="00F561F1" w:rsidRPr="002F6B1D">
                            <w:rPr>
                              <w:rFonts w:ascii="Geomanist" w:eastAsiaTheme="minorHAnsi" w:hAnsi="Geomanist" w:cstheme="minorBidi"/>
                              <w:color w:val="595959" w:themeColor="text1" w:themeTint="A6"/>
                              <w:sz w:val="18"/>
                              <w:szCs w:val="18"/>
                              <w:lang w:eastAsia="en-US"/>
                            </w:rPr>
                            <w:t xml:space="preserve">    </w:t>
                          </w:r>
                          <w:r w:rsidR="00376A25" w:rsidRPr="002F6B1D">
                            <w:rPr>
                              <w:rFonts w:ascii="Geomanist" w:eastAsiaTheme="minorHAnsi" w:hAnsi="Geomanist" w:cstheme="minorBidi"/>
                              <w:color w:val="595959" w:themeColor="text1" w:themeTint="A6"/>
                              <w:sz w:val="18"/>
                              <w:szCs w:val="18"/>
                              <w:lang w:eastAsia="en-US"/>
                            </w:rPr>
                            <w:t xml:space="preserve">        </w:t>
                          </w:r>
                          <w:r w:rsidRPr="002F6B1D">
                            <w:rPr>
                              <w:rFonts w:ascii="Geomanist" w:eastAsiaTheme="minorHAnsi" w:hAnsi="Geomanist" w:cstheme="minorBidi"/>
                              <w:color w:val="595959" w:themeColor="text1" w:themeTint="A6"/>
                              <w:sz w:val="18"/>
                              <w:szCs w:val="18"/>
                              <w:lang w:eastAsia="en-US"/>
                            </w:rPr>
                            <w:t>Instituto Nacional de Salud</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p>
                        <w:p w:rsidR="00FE1AD3" w:rsidRPr="002F6B1D" w:rsidRDefault="008E4B2D">
                          <w:pPr>
                            <w:jc w:val="right"/>
                            <w:rPr>
                              <w:rFonts w:ascii="Geomanist" w:hAnsi="Geomanist"/>
                              <w:color w:val="000000"/>
                              <w:sz w:val="18"/>
                              <w:szCs w:val="18"/>
                            </w:rPr>
                          </w:pPr>
                          <w:r w:rsidRPr="002F6B1D">
                            <w:rPr>
                              <w:rFonts w:ascii="Geomanist" w:eastAsiaTheme="minorHAnsi" w:hAnsi="Geomanist" w:cstheme="minorBidi"/>
                              <w:color w:val="595959" w:themeColor="text1" w:themeTint="A6"/>
                              <w:sz w:val="18"/>
                              <w:szCs w:val="18"/>
                              <w:lang w:eastAsia="en-US"/>
                            </w:rPr>
                            <w:t>Comité de Transparencia</w:t>
                          </w:r>
                        </w:p>
                        <w:p w:rsidR="00FE1AD3" w:rsidRPr="002F6B1D" w:rsidRDefault="00FC16C0">
                          <w:pPr>
                            <w:jc w:val="right"/>
                            <w:rPr>
                              <w:rFonts w:ascii="Geomanist" w:hAnsi="Geomanist"/>
                              <w:sz w:val="18"/>
                              <w:szCs w:val="18"/>
                            </w:rPr>
                          </w:pPr>
                          <w:r>
                            <w:rPr>
                              <w:rFonts w:ascii="Geomanist" w:hAnsi="Geomanist"/>
                              <w:sz w:val="18"/>
                              <w:szCs w:val="18"/>
                            </w:rPr>
                            <w:t>21</w:t>
                          </w:r>
                          <w:r w:rsidR="008E4B2D" w:rsidRPr="002F6B1D">
                            <w:rPr>
                              <w:rFonts w:ascii="Geomanist" w:hAnsi="Geomanist"/>
                              <w:sz w:val="18"/>
                              <w:szCs w:val="18"/>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87.95pt;margin-top:-78.85pt;width:228.75pt;height:7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" fillcolor="white [3201]" strokecolor="white [3212]" strokeweight=".5pt">
              <v:textbox>
                <w:txbxContent>
                  <w:p w:rsidR="00FE1AD3" w:rsidRPr="002F6B1D" w:rsidRDefault="00FE1AD3" w:rsidP="00376A25">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Hospital Infantil de México Federico Gómez</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r w:rsidRPr="002F6B1D">
                      <w:rPr>
                        <w:rFonts w:ascii="Geomanist" w:eastAsiaTheme="minorHAnsi" w:hAnsi="Geomanist" w:cstheme="minorBidi"/>
                        <w:color w:val="595959" w:themeColor="text1" w:themeTint="A6"/>
                        <w:sz w:val="18"/>
                        <w:szCs w:val="18"/>
                        <w:lang w:eastAsia="en-US"/>
                      </w:rPr>
                      <w:t xml:space="preserve">               </w:t>
                    </w:r>
                    <w:r w:rsidR="008E4B2D" w:rsidRPr="002F6B1D">
                      <w:rPr>
                        <w:rFonts w:ascii="Geomanist" w:eastAsiaTheme="minorHAnsi" w:hAnsi="Geomanist" w:cstheme="minorBidi"/>
                        <w:color w:val="595959" w:themeColor="text1" w:themeTint="A6"/>
                        <w:sz w:val="18"/>
                        <w:szCs w:val="18"/>
                        <w:lang w:eastAsia="en-US"/>
                      </w:rPr>
                      <w:t xml:space="preserve">                  </w:t>
                    </w:r>
                    <w:r w:rsidR="00F561F1" w:rsidRPr="002F6B1D">
                      <w:rPr>
                        <w:rFonts w:ascii="Geomanist" w:eastAsiaTheme="minorHAnsi" w:hAnsi="Geomanist" w:cstheme="minorBidi"/>
                        <w:color w:val="595959" w:themeColor="text1" w:themeTint="A6"/>
                        <w:sz w:val="18"/>
                        <w:szCs w:val="18"/>
                        <w:lang w:eastAsia="en-US"/>
                      </w:rPr>
                      <w:t xml:space="preserve">    </w:t>
                    </w:r>
                    <w:r w:rsidR="00376A25" w:rsidRPr="002F6B1D">
                      <w:rPr>
                        <w:rFonts w:ascii="Geomanist" w:eastAsiaTheme="minorHAnsi" w:hAnsi="Geomanist" w:cstheme="minorBidi"/>
                        <w:color w:val="595959" w:themeColor="text1" w:themeTint="A6"/>
                        <w:sz w:val="18"/>
                        <w:szCs w:val="18"/>
                        <w:lang w:eastAsia="en-US"/>
                      </w:rPr>
                      <w:t xml:space="preserve">        </w:t>
                    </w:r>
                    <w:r w:rsidRPr="002F6B1D">
                      <w:rPr>
                        <w:rFonts w:ascii="Geomanist" w:eastAsiaTheme="minorHAnsi" w:hAnsi="Geomanist" w:cstheme="minorBidi"/>
                        <w:color w:val="595959" w:themeColor="text1" w:themeTint="A6"/>
                        <w:sz w:val="18"/>
                        <w:szCs w:val="18"/>
                        <w:lang w:eastAsia="en-US"/>
                      </w:rPr>
                      <w:t>Instituto Nacional de Salud</w:t>
                    </w:r>
                  </w:p>
                  <w:p w:rsidR="00FE1AD3" w:rsidRPr="002F6B1D" w:rsidRDefault="00FE1AD3" w:rsidP="002F6B1D">
                    <w:pPr>
                      <w:jc w:val="right"/>
                      <w:rPr>
                        <w:rFonts w:ascii="Geomanist" w:eastAsiaTheme="minorHAnsi" w:hAnsi="Geomanist" w:cstheme="minorBidi"/>
                        <w:color w:val="595959" w:themeColor="text1" w:themeTint="A6"/>
                        <w:sz w:val="18"/>
                        <w:szCs w:val="18"/>
                        <w:lang w:eastAsia="en-US"/>
                      </w:rPr>
                    </w:pPr>
                  </w:p>
                  <w:p w:rsidR="00FE1AD3" w:rsidRPr="002F6B1D" w:rsidRDefault="008E4B2D">
                    <w:pPr>
                      <w:jc w:val="right"/>
                      <w:rPr>
                        <w:rFonts w:ascii="Geomanist" w:hAnsi="Geomanist"/>
                        <w:color w:val="000000"/>
                        <w:sz w:val="18"/>
                        <w:szCs w:val="18"/>
                      </w:rPr>
                    </w:pPr>
                    <w:r w:rsidRPr="002F6B1D">
                      <w:rPr>
                        <w:rFonts w:ascii="Geomanist" w:eastAsiaTheme="minorHAnsi" w:hAnsi="Geomanist" w:cstheme="minorBidi"/>
                        <w:color w:val="595959" w:themeColor="text1" w:themeTint="A6"/>
                        <w:sz w:val="18"/>
                        <w:szCs w:val="18"/>
                        <w:lang w:eastAsia="en-US"/>
                      </w:rPr>
                      <w:t>Comité de Transparencia</w:t>
                    </w:r>
                  </w:p>
                  <w:p w:rsidR="00FE1AD3" w:rsidRPr="002F6B1D" w:rsidRDefault="00FC16C0">
                    <w:pPr>
                      <w:jc w:val="right"/>
                      <w:rPr>
                        <w:rFonts w:ascii="Geomanist" w:hAnsi="Geomanist"/>
                        <w:sz w:val="18"/>
                        <w:szCs w:val="18"/>
                      </w:rPr>
                    </w:pPr>
                    <w:r>
                      <w:rPr>
                        <w:rFonts w:ascii="Geomanist" w:hAnsi="Geomanist"/>
                        <w:sz w:val="18"/>
                        <w:szCs w:val="18"/>
                      </w:rPr>
                      <w:t>21</w:t>
                    </w:r>
                    <w:r w:rsidR="008E4B2D" w:rsidRPr="002F6B1D">
                      <w:rPr>
                        <w:rFonts w:ascii="Geomanist" w:hAnsi="Geomanist"/>
                        <w:sz w:val="18"/>
                        <w:szCs w:val="18"/>
                      </w:rPr>
                      <w:t>/25</w:t>
                    </w:r>
                  </w:p>
                </w:txbxContent>
              </v:textbox>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E04BA"/>
    <w:multiLevelType w:val="hybridMultilevel"/>
    <w:tmpl w:val="473C4B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3FCA6408"/>
    <w:multiLevelType w:val="hybridMultilevel"/>
    <w:tmpl w:val="364EDA26"/>
    <w:lvl w:ilvl="0" w:tplc="6E8459D2">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7A9D30F1"/>
    <w:multiLevelType w:val="hybridMultilevel"/>
    <w:tmpl w:val="5D3E9836"/>
    <w:lvl w:ilvl="0" w:tplc="9A88042C">
      <w:start w:val="1"/>
      <w:numFmt w:val="decimal"/>
      <w:lvlText w:val="%1."/>
      <w:lvlJc w:val="left"/>
      <w:pPr>
        <w:ind w:left="36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B552DB5"/>
    <w:multiLevelType w:val="multilevel"/>
    <w:tmpl w:val="785015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
  </w:num>
  <w:num w:numId="3">
    <w:abstractNumId w:val="2"/>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006207"/>
    <w:rsid w:val="00035D4A"/>
    <w:rsid w:val="00043112"/>
    <w:rsid w:val="00066306"/>
    <w:rsid w:val="00086BF8"/>
    <w:rsid w:val="000C101F"/>
    <w:rsid w:val="00104BE1"/>
    <w:rsid w:val="00122084"/>
    <w:rsid w:val="0014531F"/>
    <w:rsid w:val="001638F1"/>
    <w:rsid w:val="001765CD"/>
    <w:rsid w:val="001838CC"/>
    <w:rsid w:val="0019675F"/>
    <w:rsid w:val="0019738B"/>
    <w:rsid w:val="001A11D9"/>
    <w:rsid w:val="001A38D0"/>
    <w:rsid w:val="001B139A"/>
    <w:rsid w:val="001B2CBE"/>
    <w:rsid w:val="001E190B"/>
    <w:rsid w:val="001E2CDB"/>
    <w:rsid w:val="002154E2"/>
    <w:rsid w:val="00256508"/>
    <w:rsid w:val="00293666"/>
    <w:rsid w:val="002B5309"/>
    <w:rsid w:val="002D7AAE"/>
    <w:rsid w:val="002E692A"/>
    <w:rsid w:val="002F2D47"/>
    <w:rsid w:val="002F6B1D"/>
    <w:rsid w:val="00307E5F"/>
    <w:rsid w:val="00314E20"/>
    <w:rsid w:val="00321A15"/>
    <w:rsid w:val="00336F0F"/>
    <w:rsid w:val="003502C9"/>
    <w:rsid w:val="00364DBD"/>
    <w:rsid w:val="00376A25"/>
    <w:rsid w:val="003836E7"/>
    <w:rsid w:val="003A119D"/>
    <w:rsid w:val="003B0423"/>
    <w:rsid w:val="003E4DD1"/>
    <w:rsid w:val="003F46EE"/>
    <w:rsid w:val="00427096"/>
    <w:rsid w:val="00466EB5"/>
    <w:rsid w:val="00467CC3"/>
    <w:rsid w:val="0048369F"/>
    <w:rsid w:val="00484EEC"/>
    <w:rsid w:val="004A33B9"/>
    <w:rsid w:val="004A6FE7"/>
    <w:rsid w:val="004B5EB3"/>
    <w:rsid w:val="004C1698"/>
    <w:rsid w:val="004C414F"/>
    <w:rsid w:val="004D15C3"/>
    <w:rsid w:val="004D5B56"/>
    <w:rsid w:val="00507006"/>
    <w:rsid w:val="00533D4D"/>
    <w:rsid w:val="00545E7B"/>
    <w:rsid w:val="005B08E8"/>
    <w:rsid w:val="005D514E"/>
    <w:rsid w:val="00621D60"/>
    <w:rsid w:val="00623E94"/>
    <w:rsid w:val="0065202C"/>
    <w:rsid w:val="006606FE"/>
    <w:rsid w:val="00660C86"/>
    <w:rsid w:val="00674AD1"/>
    <w:rsid w:val="006925CB"/>
    <w:rsid w:val="006B77A1"/>
    <w:rsid w:val="006C372F"/>
    <w:rsid w:val="006C5F33"/>
    <w:rsid w:val="006E2D49"/>
    <w:rsid w:val="006E5CCD"/>
    <w:rsid w:val="006E65C4"/>
    <w:rsid w:val="006F1465"/>
    <w:rsid w:val="007127C2"/>
    <w:rsid w:val="00796618"/>
    <w:rsid w:val="007E48EA"/>
    <w:rsid w:val="007E7DDE"/>
    <w:rsid w:val="007F0AFC"/>
    <w:rsid w:val="007F1EF8"/>
    <w:rsid w:val="008015CD"/>
    <w:rsid w:val="008261C4"/>
    <w:rsid w:val="0083574D"/>
    <w:rsid w:val="00846FFA"/>
    <w:rsid w:val="00851685"/>
    <w:rsid w:val="0085200C"/>
    <w:rsid w:val="00870EB5"/>
    <w:rsid w:val="008907BF"/>
    <w:rsid w:val="008A0A04"/>
    <w:rsid w:val="008B7B48"/>
    <w:rsid w:val="008C1463"/>
    <w:rsid w:val="008E4B2D"/>
    <w:rsid w:val="008E6498"/>
    <w:rsid w:val="0090628D"/>
    <w:rsid w:val="009125BA"/>
    <w:rsid w:val="009228D3"/>
    <w:rsid w:val="009308D3"/>
    <w:rsid w:val="00934A82"/>
    <w:rsid w:val="00945F66"/>
    <w:rsid w:val="00954D68"/>
    <w:rsid w:val="00970E4F"/>
    <w:rsid w:val="00971C81"/>
    <w:rsid w:val="00986929"/>
    <w:rsid w:val="00991992"/>
    <w:rsid w:val="009A76C4"/>
    <w:rsid w:val="009E6392"/>
    <w:rsid w:val="009F7AEB"/>
    <w:rsid w:val="00A0630A"/>
    <w:rsid w:val="00A070FB"/>
    <w:rsid w:val="00A26C3D"/>
    <w:rsid w:val="00A32E95"/>
    <w:rsid w:val="00A468E5"/>
    <w:rsid w:val="00A77885"/>
    <w:rsid w:val="00A93AD8"/>
    <w:rsid w:val="00A947BA"/>
    <w:rsid w:val="00A96D48"/>
    <w:rsid w:val="00AB2364"/>
    <w:rsid w:val="00AF1406"/>
    <w:rsid w:val="00AF27D3"/>
    <w:rsid w:val="00B00D54"/>
    <w:rsid w:val="00B109C5"/>
    <w:rsid w:val="00B2383F"/>
    <w:rsid w:val="00B24653"/>
    <w:rsid w:val="00B37048"/>
    <w:rsid w:val="00B63615"/>
    <w:rsid w:val="00BA1777"/>
    <w:rsid w:val="00BA5A19"/>
    <w:rsid w:val="00BB792B"/>
    <w:rsid w:val="00BD0DA9"/>
    <w:rsid w:val="00BE6CDC"/>
    <w:rsid w:val="00BF2251"/>
    <w:rsid w:val="00C009C6"/>
    <w:rsid w:val="00C056CA"/>
    <w:rsid w:val="00C56D9E"/>
    <w:rsid w:val="00CA2095"/>
    <w:rsid w:val="00CD60FC"/>
    <w:rsid w:val="00CE1043"/>
    <w:rsid w:val="00CE5538"/>
    <w:rsid w:val="00D267A3"/>
    <w:rsid w:val="00D33492"/>
    <w:rsid w:val="00D50C99"/>
    <w:rsid w:val="00D817E9"/>
    <w:rsid w:val="00D8418D"/>
    <w:rsid w:val="00D91614"/>
    <w:rsid w:val="00DA73A4"/>
    <w:rsid w:val="00DB15AD"/>
    <w:rsid w:val="00DD747A"/>
    <w:rsid w:val="00DE0B35"/>
    <w:rsid w:val="00E177E4"/>
    <w:rsid w:val="00E37E12"/>
    <w:rsid w:val="00E50684"/>
    <w:rsid w:val="00E84A91"/>
    <w:rsid w:val="00EA74BD"/>
    <w:rsid w:val="00EF118C"/>
    <w:rsid w:val="00F05FB9"/>
    <w:rsid w:val="00F47AB4"/>
    <w:rsid w:val="00F561F1"/>
    <w:rsid w:val="00F870E5"/>
    <w:rsid w:val="00F92078"/>
    <w:rsid w:val="00FA4E92"/>
    <w:rsid w:val="00FA5FA3"/>
    <w:rsid w:val="00FC16C0"/>
    <w:rsid w:val="00FC7A5D"/>
    <w:rsid w:val="00FD192D"/>
    <w:rsid w:val="00FE1A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EEC"/>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035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79661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66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36694">
      <w:bodyDiv w:val="1"/>
      <w:marLeft w:val="0"/>
      <w:marRight w:val="0"/>
      <w:marTop w:val="0"/>
      <w:marBottom w:val="0"/>
      <w:divBdr>
        <w:top w:val="none" w:sz="0" w:space="0" w:color="auto"/>
        <w:left w:val="none" w:sz="0" w:space="0" w:color="auto"/>
        <w:bottom w:val="none" w:sz="0" w:space="0" w:color="auto"/>
        <w:right w:val="none" w:sz="0" w:space="0" w:color="auto"/>
      </w:divBdr>
    </w:div>
    <w:div w:id="729886549">
      <w:bodyDiv w:val="1"/>
      <w:marLeft w:val="0"/>
      <w:marRight w:val="0"/>
      <w:marTop w:val="0"/>
      <w:marBottom w:val="0"/>
      <w:divBdr>
        <w:top w:val="none" w:sz="0" w:space="0" w:color="auto"/>
        <w:left w:val="none" w:sz="0" w:space="0" w:color="auto"/>
        <w:bottom w:val="none" w:sz="0" w:space="0" w:color="auto"/>
        <w:right w:val="none" w:sz="0" w:space="0" w:color="auto"/>
      </w:divBdr>
    </w:div>
    <w:div w:id="973363327">
      <w:bodyDiv w:val="1"/>
      <w:marLeft w:val="0"/>
      <w:marRight w:val="0"/>
      <w:marTop w:val="0"/>
      <w:marBottom w:val="0"/>
      <w:divBdr>
        <w:top w:val="none" w:sz="0" w:space="0" w:color="auto"/>
        <w:left w:val="none" w:sz="0" w:space="0" w:color="auto"/>
        <w:bottom w:val="none" w:sz="0" w:space="0" w:color="auto"/>
        <w:right w:val="none" w:sz="0" w:space="0" w:color="auto"/>
      </w:divBdr>
    </w:div>
    <w:div w:id="1013919085">
      <w:bodyDiv w:val="1"/>
      <w:marLeft w:val="0"/>
      <w:marRight w:val="0"/>
      <w:marTop w:val="0"/>
      <w:marBottom w:val="0"/>
      <w:divBdr>
        <w:top w:val="none" w:sz="0" w:space="0" w:color="auto"/>
        <w:left w:val="none" w:sz="0" w:space="0" w:color="auto"/>
        <w:bottom w:val="none" w:sz="0" w:space="0" w:color="auto"/>
        <w:right w:val="none" w:sz="0" w:space="0" w:color="auto"/>
      </w:divBdr>
    </w:div>
    <w:div w:id="1272980795">
      <w:bodyDiv w:val="1"/>
      <w:marLeft w:val="0"/>
      <w:marRight w:val="0"/>
      <w:marTop w:val="0"/>
      <w:marBottom w:val="0"/>
      <w:divBdr>
        <w:top w:val="none" w:sz="0" w:space="0" w:color="auto"/>
        <w:left w:val="none" w:sz="0" w:space="0" w:color="auto"/>
        <w:bottom w:val="none" w:sz="0" w:space="0" w:color="auto"/>
        <w:right w:val="none" w:sz="0" w:space="0" w:color="auto"/>
      </w:divBdr>
    </w:div>
    <w:div w:id="1358774410">
      <w:bodyDiv w:val="1"/>
      <w:marLeft w:val="0"/>
      <w:marRight w:val="0"/>
      <w:marTop w:val="0"/>
      <w:marBottom w:val="0"/>
      <w:divBdr>
        <w:top w:val="none" w:sz="0" w:space="0" w:color="auto"/>
        <w:left w:val="none" w:sz="0" w:space="0" w:color="auto"/>
        <w:bottom w:val="none" w:sz="0" w:space="0" w:color="auto"/>
        <w:right w:val="none" w:sz="0" w:space="0" w:color="auto"/>
      </w:divBdr>
    </w:div>
    <w:div w:id="1488588347">
      <w:bodyDiv w:val="1"/>
      <w:marLeft w:val="0"/>
      <w:marRight w:val="0"/>
      <w:marTop w:val="0"/>
      <w:marBottom w:val="0"/>
      <w:divBdr>
        <w:top w:val="none" w:sz="0" w:space="0" w:color="auto"/>
        <w:left w:val="none" w:sz="0" w:space="0" w:color="auto"/>
        <w:bottom w:val="none" w:sz="0" w:space="0" w:color="auto"/>
        <w:right w:val="none" w:sz="0" w:space="0" w:color="auto"/>
      </w:divBdr>
    </w:div>
    <w:div w:id="1584954535">
      <w:bodyDiv w:val="1"/>
      <w:marLeft w:val="0"/>
      <w:marRight w:val="0"/>
      <w:marTop w:val="0"/>
      <w:marBottom w:val="0"/>
      <w:divBdr>
        <w:top w:val="none" w:sz="0" w:space="0" w:color="auto"/>
        <w:left w:val="none" w:sz="0" w:space="0" w:color="auto"/>
        <w:bottom w:val="none" w:sz="0" w:space="0" w:color="auto"/>
        <w:right w:val="none" w:sz="0" w:space="0" w:color="auto"/>
      </w:divBdr>
    </w:div>
    <w:div w:id="1670862344">
      <w:bodyDiv w:val="1"/>
      <w:marLeft w:val="0"/>
      <w:marRight w:val="0"/>
      <w:marTop w:val="0"/>
      <w:marBottom w:val="0"/>
      <w:divBdr>
        <w:top w:val="none" w:sz="0" w:space="0" w:color="auto"/>
        <w:left w:val="none" w:sz="0" w:space="0" w:color="auto"/>
        <w:bottom w:val="none" w:sz="0" w:space="0" w:color="auto"/>
        <w:right w:val="none" w:sz="0" w:space="0" w:color="auto"/>
      </w:divBdr>
    </w:div>
    <w:div w:id="197362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2972</Words>
  <Characters>16351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HIM</cp:lastModifiedBy>
  <cp:revision>7</cp:revision>
  <cp:lastPrinted>2025-08-01T16:50:00Z</cp:lastPrinted>
  <dcterms:created xsi:type="dcterms:W3CDTF">2025-07-28T22:42:00Z</dcterms:created>
  <dcterms:modified xsi:type="dcterms:W3CDTF">2025-08-01T16:50:00Z</dcterms:modified>
</cp:coreProperties>
</file>